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Smaller Economies in Latin America and Caribbean Face a Bigger Inflation Challenge</w:t>
      </w:r>
      <w:br/>
      <w:hyperlink r:id="rId7" w:history="1">
        <w:r>
          <w:rPr>
            <w:color w:val="2980b9"/>
            <w:u w:val="single"/>
          </w:rPr>
          <w:t xml:space="preserve">https://www.imf.org/en/News/Articles/2022/09/16/CF-Smaller-Economies-in-Latin-America-and-Caribbean-Face-a-Bigger-Inflation-Challenge</w:t>
        </w:r>
      </w:hyperlink>
    </w:p>
    <w:p>
      <w:pPr>
        <w:pStyle w:val="Heading1"/>
      </w:pPr>
      <w:bookmarkStart w:id="2" w:name="_Toc2"/>
      <w:r>
        <w:t>Article summary:</w:t>
      </w:r>
      <w:bookmarkEnd w:id="2"/>
    </w:p>
    <w:p>
      <w:pPr>
        <w:jc w:val="both"/>
      </w:pPr>
      <w:r>
        <w:rPr/>
        <w:t xml:space="preserve">1. Smaller economies in Latin America and the Caribbean (LAC) are facing a bigger challenge with inflation due to their less diversified economies, greater reliance on imports, and higher public debt.</w:t>
      </w:r>
    </w:p>
    <w:p>
      <w:pPr>
        <w:jc w:val="both"/>
      </w:pPr>
      <w:r>
        <w:rPr/>
        <w:t xml:space="preserve">2. The ongoing inflation wave is hurting the poor more given the rapid increase in food prices, which may worsen food insecurity further.</w:t>
      </w:r>
    </w:p>
    <w:p>
      <w:pPr>
        <w:jc w:val="both"/>
      </w:pPr>
      <w:r>
        <w:rPr/>
        <w:t xml:space="preserve">3. Policymakers should be prepared for a possible long-lasting inflationary shock by adjusting domestic prices to international prices while providing targeted and temporary support to the most vulnerable, implementing price smoothing mechanisms with clear exit strategies, and considering offsetting revenue or spending measures to limit overall fiscal impact.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"Smaller Economies in Latin America and Caribbean Face a Bigger Inflation Challenge" provides an insightful analysis of the challenges faced by smaller economies in LAC due to high inflation. The authors highlight that these economies are less diversified, rely more on imports, and have limited policy levers at their disposal, making it difficult for them to fight inflation. The poorest households have been hit the hardest, and food insecurity is on the rise.</w:t>
      </w:r>
    </w:p>
    <w:p>
      <w:pPr>
        <w:jc w:val="both"/>
      </w:pPr>
      <w:r>
        <w:rPr/>
        <w:t xml:space="preserve"/>
      </w:r>
    </w:p>
    <w:p>
      <w:pPr>
        <w:jc w:val="both"/>
      </w:pPr>
      <w:r>
        <w:rPr/>
        <w:t xml:space="preserve">However, the article has some potential biases and missing points of consideration. Firstly, while the authors acknowledge that global energy and food prices have increased due to the war in Ukraine, they do not explore other factors contributing to inflation in LAC countries. For instance, supply chain disruptions caused by COVID-19 could also be a significant factor driving up prices.</w:t>
      </w:r>
    </w:p>
    <w:p>
      <w:pPr>
        <w:jc w:val="both"/>
      </w:pPr>
      <w:r>
        <w:rPr/>
        <w:t xml:space="preserve"/>
      </w:r>
    </w:p>
    <w:p>
      <w:pPr>
        <w:jc w:val="both"/>
      </w:pPr>
      <w:r>
        <w:rPr/>
        <w:t xml:space="preserve">Secondly, the article does not provide a comprehensive analysis of the impact of currency pegs on smaller economies' ability to address inflation. While it is true that currency pegs limit policy flexibility, they also provide stability and predictability for businesses and investors. Therefore, policymakers may be hesitant to abandon currency pegs without considering their potential benefits.</w:t>
      </w:r>
    </w:p>
    <w:p>
      <w:pPr>
        <w:jc w:val="both"/>
      </w:pPr>
      <w:r>
        <w:rPr/>
        <w:t xml:space="preserve"/>
      </w:r>
    </w:p>
    <w:p>
      <w:pPr>
        <w:jc w:val="both"/>
      </w:pPr>
      <w:r>
        <w:rPr/>
        <w:t xml:space="preserve">Thirdly, while the authors suggest that policymakers should prepare for a possible long-lasting inflationary shock, they do not explore potential counterarguments or risks associated with this approach. For instance, implementing targeted measures or price smoothing mechanisms could lead to unintended consequences such as market distortions or moral hazard.</w:t>
      </w:r>
    </w:p>
    <w:p>
      <w:pPr>
        <w:jc w:val="both"/>
      </w:pPr>
      <w:r>
        <w:rPr/>
        <w:t xml:space="preserve"/>
      </w:r>
    </w:p>
    <w:p>
      <w:pPr>
        <w:jc w:val="both"/>
      </w:pPr>
      <w:r>
        <w:rPr/>
        <w:t xml:space="preserve">Finally, the article does not present both sides equally when discussing fiscal measures implemented by smaller economies in response to higher global energy and food prices. While it is true that many countries introduced temporary fiscal measures targeted at vulnerable populations, some countries also implemented broader subsidies on food and fuel that may have contributed to higher inflation rates.</w:t>
      </w:r>
    </w:p>
    <w:p>
      <w:pPr>
        <w:jc w:val="both"/>
      </w:pPr>
      <w:r>
        <w:rPr/>
        <w:t xml:space="preserve"/>
      </w:r>
    </w:p>
    <w:p>
      <w:pPr>
        <w:jc w:val="both"/>
      </w:pPr>
      <w:r>
        <w:rPr/>
        <w:t xml:space="preserve">In conclusion, while "Smaller Economies in Latin America and Caribbean Face a Bigger Inflation Challenge" provides valuable insights into the challenges faced by smaller economies in LAC due to high inflation rates, it has some potential biases and missing points of consideration that readers should be aware of when interpreting its findings.</w:t>
      </w:r>
    </w:p>
    <w:p>
      <w:pPr>
        <w:pStyle w:val="Heading1"/>
      </w:pPr>
      <w:bookmarkStart w:id="5" w:name="_Toc5"/>
      <w:r>
        <w:t>Topics for further research:</w:t>
      </w:r>
      <w:bookmarkEnd w:id="5"/>
    </w:p>
    <w:p>
      <w:pPr>
        <w:spacing w:after="0"/>
        <w:numPr>
          <w:ilvl w:val="0"/>
          <w:numId w:val="2"/>
        </w:numPr>
      </w:pPr>
      <w:r>
        <w:rPr/>
        <w:t xml:space="preserve">Factors contributing to inflation in LAC countries beyond global energy and food prices
</w:t>
      </w:r>
    </w:p>
    <w:p>
      <w:pPr>
        <w:spacing w:after="0"/>
        <w:numPr>
          <w:ilvl w:val="0"/>
          <w:numId w:val="2"/>
        </w:numPr>
      </w:pPr>
      <w:r>
        <w:rPr/>
        <w:t xml:space="preserve">Impact of currency pegs on smaller economies' ability to address inflation
</w:t>
      </w:r>
    </w:p>
    <w:p>
      <w:pPr>
        <w:spacing w:after="0"/>
        <w:numPr>
          <w:ilvl w:val="0"/>
          <w:numId w:val="2"/>
        </w:numPr>
      </w:pPr>
      <w:r>
        <w:rPr/>
        <w:t xml:space="preserve">Risks and counterarguments associated with preparing for a long-lasting inflationary shock
</w:t>
      </w:r>
    </w:p>
    <w:p>
      <w:pPr>
        <w:spacing w:after="0"/>
        <w:numPr>
          <w:ilvl w:val="0"/>
          <w:numId w:val="2"/>
        </w:numPr>
      </w:pPr>
      <w:r>
        <w:rPr/>
        <w:t xml:space="preserve">Potential unintended consequences of targeted measures or price smoothing mechanisms
</w:t>
      </w:r>
    </w:p>
    <w:p>
      <w:pPr>
        <w:spacing w:after="0"/>
        <w:numPr>
          <w:ilvl w:val="0"/>
          <w:numId w:val="2"/>
        </w:numPr>
      </w:pPr>
      <w:r>
        <w:rPr/>
        <w:t xml:space="preserve">Broader subsidies on food and fuel and their contribution to higher inflation rates
</w:t>
      </w:r>
    </w:p>
    <w:p>
      <w:pPr>
        <w:numPr>
          <w:ilvl w:val="0"/>
          <w:numId w:val="2"/>
        </w:numPr>
      </w:pPr>
      <w:r>
        <w:rPr/>
        <w:t xml:space="preserve">COVID-19's impact on supply chain disruptions and inflation in LAC countries</w:t>
      </w:r>
    </w:p>
    <w:p>
      <w:pPr>
        <w:pStyle w:val="Heading1"/>
      </w:pPr>
      <w:bookmarkStart w:id="6" w:name="_Toc6"/>
      <w:r>
        <w:t>Report location:</w:t>
      </w:r>
      <w:bookmarkEnd w:id="6"/>
    </w:p>
    <w:p>
      <w:hyperlink r:id="rId8" w:history="1">
        <w:r>
          <w:rPr>
            <w:color w:val="2980b9"/>
            <w:u w:val="single"/>
          </w:rPr>
          <w:t xml:space="preserve">https://www.fullpicture.app/item/5fee4ed3bd64da3638e658dd9f0a90da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69F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mf.org/en/News/Articles/2022/09/16/CF-Smaller-Economies-in-Latin-America-and-Caribbean-Face-a-Bigger-Inflation-Challenge" TargetMode="External"/><Relationship Id="rId8" Type="http://schemas.openxmlformats.org/officeDocument/2006/relationships/hyperlink" Target="https://www.fullpicture.app/item/5fee4ed3bd64da3638e658dd9f0a90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2023-12-22T03:11:18+01:00</dcterms:created>
  <dcterms:modified xsi:type="dcterms:W3CDTF">2023-12-22T03:11:18+01:00</dcterms:modified>
</cp:coreProperties>
</file>

<file path=docProps/custom.xml><?xml version="1.0" encoding="utf-8"?>
<Properties xmlns="http://schemas.openxmlformats.org/officeDocument/2006/custom-properties" xmlns:vt="http://schemas.openxmlformats.org/officeDocument/2006/docPropsVTypes"/>
</file>