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心肌梗死后的左心室：利用心脏MRI预测疾病进程 - Cardiovascular Diagnosis and Therapy</w:t>
      </w:r>
      <w:br/>
      <w:hyperlink r:id="rId7" w:history="1">
        <w:r>
          <w:rPr>
            <w:color w:val="2980b9"/>
            <w:u w:val="single"/>
          </w:rPr>
          <w:t xml:space="preserve">https://cdt.amegroups.com/post/view/1413517449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心脏MRI是一种准确且可重复的显像方法，能够全面评估急性心肌梗死患者的缺血性损伤类型。</w:t>
      </w:r>
    </w:p>
    <w:p>
      <w:pPr>
        <w:jc w:val="both"/>
      </w:pPr>
      <w:r>
        <w:rPr/>
        <w:t xml:space="preserve">2. 心肌挽救指数已成为潜在的终点替代指标，逐渐应用于临床试验或作为辅助再灌注策略。</w:t>
      </w:r>
    </w:p>
    <w:p>
      <w:pPr>
        <w:jc w:val="both"/>
      </w:pPr>
      <w:r>
        <w:rPr/>
        <w:t xml:space="preserve">3. 心脏MRI可用于研究心肌梗死治疗进程，以及左心室几何形态和功能性病变（左室重塑）的预测和分组治疗。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综述文章，该文对心脏MRI在评估急慢性IHD患者心肌梗死后（心室）重塑的价值进行了分析。文章提到了MRI作为一种准确且可重复的显像方法在心脏病学领域得到广泛认可，并且能够全面评估缺血性损伤类型。同时，文章还提到了心肌挽救指数作为潜在的终点替代指标，逐渐应用于临床试验或作为辅助再灌注策略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然而，该文存在以下问题：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偏向性：该文没有探讨MRI可能存在的局限性和风险，只是强调其优点和应用范围。这可能会导致读者对MRI的认识存在偏差。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片面报道：该文只关注了MRI在评估急慢性IHD患者心肌梗死后（心室）重塑方面的价值，但并未探讨其他影响左心室功能恢复的因素，如治疗方案、药物干预等。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缺失考虑点：该文没有考虑到不同人群之间可能存在的差异性，如年龄、性别、基础疾病等因素可能会影响MRI的应用效果。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主张缺失证据：该文提到心肌挽救指数作为潜在的终点替代指标，但并未提供足够的证据支持其在临床实践中的有效性和可靠性。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未探索反驳：该文没有探讨MRI在评估左心室重塑方面存在的争议和不确定性，如何解决这些问题以及未来发展方向等。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总之，该文虽然对MRI在评估急慢性IHD患者心肌梗死后（心室）重塑方面进行了分析，但存在偏向性、片面报道、缺失考虑点、主张缺失证据和未探索反驳等问题。读者需要谨慎对待其中所提出的观点和结论。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and risks of MRI in cardiac imaging
</w:t>
      </w:r>
    </w:p>
    <w:p>
      <w:pPr>
        <w:spacing w:after="0"/>
        <w:numPr>
          <w:ilvl w:val="0"/>
          <w:numId w:val="2"/>
        </w:numPr>
      </w:pPr>
      <w:r>
        <w:rPr/>
        <w:t xml:space="preserve">Other factors affecting left ventricular function recovery in IHD patients
</w:t>
      </w:r>
    </w:p>
    <w:p>
      <w:pPr>
        <w:spacing w:after="0"/>
        <w:numPr>
          <w:ilvl w:val="0"/>
          <w:numId w:val="2"/>
        </w:numPr>
      </w:pPr>
      <w:r>
        <w:rPr/>
        <w:t xml:space="preserve">Variations in MRI application effectiveness due to age</w:t>
      </w:r>
    </w:p>
    <w:p>
      <w:pPr>
        <w:spacing w:after="0"/>
        <w:numPr>
          <w:ilvl w:val="0"/>
          <w:numId w:val="2"/>
        </w:numPr>
      </w:pPr>
      <w:r>
        <w:rPr/>
        <w:t xml:space="preserve">gender</w:t>
      </w:r>
    </w:p>
    <w:p>
      <w:pPr>
        <w:spacing w:after="0"/>
        <w:numPr>
          <w:ilvl w:val="0"/>
          <w:numId w:val="2"/>
        </w:numPr>
      </w:pPr>
      <w:r>
        <w:rPr/>
        <w:t xml:space="preserve">and underlying conditions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use of myocardial salvage index as an endpoint surrogate
</w:t>
      </w:r>
    </w:p>
    <w:p>
      <w:pPr>
        <w:spacing w:after="0"/>
        <w:numPr>
          <w:ilvl w:val="0"/>
          <w:numId w:val="2"/>
        </w:numPr>
      </w:pPr>
      <w:r>
        <w:rPr/>
        <w:t xml:space="preserve">Controversies and uncertainties surrounding MRI evaluation of left ventricular remodeling
</w:t>
      </w:r>
    </w:p>
    <w:p>
      <w:pPr>
        <w:numPr>
          <w:ilvl w:val="0"/>
          <w:numId w:val="2"/>
        </w:numPr>
      </w:pPr>
      <w:r>
        <w:rPr/>
        <w:t xml:space="preserve">Future directions for MRI in cardiac imaging and research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https://www.fullpicture.app/item/60342df939fb576513cc2e3901b3ab54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FC5C9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dt.amegroups.com/post/view/1413517449" TargetMode="External"/><Relationship Id="rId8" Type="http://schemas.openxmlformats.org/officeDocument/2006/relationships/hyperlink" Target="https://www.fullpicture.app/item/60342df939fb576513cc2e3901b3ab5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2024-03-04T22:26:16+01:00</dcterms:created>
  <dcterms:modified xsi:type="dcterms:W3CDTF">2024-03-04T22:26:16+01:00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