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Advances in photonic reservoir computing</w:t>
      </w:r>
      <w:br/>
      <w:hyperlink r:id="rId7" w:history="1">
        <w:r>
          <w:rPr>
            <w:color w:val="2980b9"/>
            <w:u w:val="single"/>
          </w:rPr>
          <w:t xml:space="preserve">https://www.degruyter.com/document/doi/10.1515/nanoph-2016-0132/html</w:t>
        </w:r>
      </w:hyperlink>
    </w:p>
    <w:p>
      <w:pPr>
        <w:pStyle w:val="Heading1"/>
      </w:pPr>
      <w:bookmarkStart w:id="2" w:name="_Toc2"/>
      <w:r>
        <w:t>Article summary:</w:t>
      </w:r>
      <w:bookmarkEnd w:id="2"/>
    </w:p>
    <w:p>
      <w:pPr>
        <w:jc w:val="both"/>
      </w:pPr>
      <w:r>
        <w:rPr/>
        <w:t xml:space="preserve">1. 传统计算机架构在处理高度复杂或抽象的计算任务时效率低下，而人脑神经网络系统则能够高效地处理这些任务。</w:t>
      </w:r>
    </w:p>
    <w:p>
      <w:pPr>
        <w:jc w:val="both"/>
      </w:pPr>
      <w:r>
        <w:rPr/>
        <w:t xml:space="preserve">2. 光子技术具有天然的并行性，因此被认为是实现神经网络系统的理想选择。早期的光子神经网络方案存在着连接数控制困难和电子元件限制等问题，但最近又重新引起了人们的关注。</w:t>
      </w:r>
    </w:p>
    <w:p>
      <w:pPr>
        <w:jc w:val="both"/>
      </w:pPr>
      <w:r>
        <w:rPr/>
        <w:t xml:space="preserve">3. 光子储备计算（photonic reservoir computing）是一种基于光学器件实现神经网络计算的新方法，它可以通过调整光信号在储备器中的传播来实现信息处理。该方法具有较高的能量效率和快速响应速度，并且可以用于语音识别、图像识别等领域。</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该文章主要介绍了光子储备计算的进展和其在信息处理中的应用。然而，该文章存在以下问题：</w:t>
      </w:r>
    </w:p>
    <w:p>
      <w:pPr>
        <w:jc w:val="both"/>
      </w:pPr>
      <w:r>
        <w:rPr/>
        <w:t xml:space="preserve"/>
      </w:r>
    </w:p>
    <w:p>
      <w:pPr>
        <w:jc w:val="both"/>
      </w:pPr>
      <w:r>
        <w:rPr/>
        <w:t xml:space="preserve">1. 偏见来源：文章过于强调人脑与计算机之间的差异，将人脑描述为高效、快速、优秀，而将计算机描述为低效、慢速、有限。这种偏见可能来自于作者对神经科学和计算机科学领域的不同专业背景。</w:t>
      </w:r>
    </w:p>
    <w:p>
      <w:pPr>
        <w:jc w:val="both"/>
      </w:pPr>
      <w:r>
        <w:rPr/>
        <w:t xml:space="preserve"/>
      </w:r>
    </w:p>
    <w:p>
      <w:pPr>
        <w:jc w:val="both"/>
      </w:pPr>
      <w:r>
        <w:rPr/>
        <w:t xml:space="preserve">2. 片面报道：文章只介绍了光子储备计算在信息处理中的优点，但没有提及其缺点或潜在风险。例如，光子储备计算需要复杂的硬件设备和技术支持，成本较高；同时，在实际应用中可能会受到环境干扰等因素影响。</w:t>
      </w:r>
    </w:p>
    <w:p>
      <w:pPr>
        <w:jc w:val="both"/>
      </w:pPr>
      <w:r>
        <w:rPr/>
        <w:t xml:space="preserve"/>
      </w:r>
    </w:p>
    <w:p>
      <w:pPr>
        <w:jc w:val="both"/>
      </w:pPr>
      <w:r>
        <w:rPr/>
        <w:t xml:space="preserve">3. 缺失考虑点：文章没有考虑到光子储备计算与其他新型计算方法（如量子计算）之间的比较和竞争关系。同时，也没有探讨光子储备计算在不同领域（如金融、医疗等）中的具体应用场景和效果。</w:t>
      </w:r>
    </w:p>
    <w:p>
      <w:pPr>
        <w:jc w:val="both"/>
      </w:pPr>
      <w:r>
        <w:rPr/>
        <w:t xml:space="preserve"/>
      </w:r>
    </w:p>
    <w:p>
      <w:pPr>
        <w:jc w:val="both"/>
      </w:pPr>
      <w:r>
        <w:rPr/>
        <w:t xml:space="preserve">4. 宣传内容：文章过于宣传光子储备计算的优势，并未客观地评估其实际应用价值和市场前景。这种宣传性质可能是出于商业利益或个人偏好。</w:t>
      </w:r>
    </w:p>
    <w:p>
      <w:pPr>
        <w:jc w:val="both"/>
      </w:pPr>
      <w:r>
        <w:rPr/>
        <w:t xml:space="preserve"/>
      </w:r>
    </w:p>
    <w:p>
      <w:pPr>
        <w:jc w:val="both"/>
      </w:pPr>
      <w:r>
        <w:rPr/>
        <w:t xml:space="preserve">5. 偏袒：文章未能平等地呈现双方观点或证据，并且未能探索反驳意见或争议点。这种偏袒可能是由于作者对相关领域知识不足或立场倾向所致。</w:t>
      </w:r>
    </w:p>
    <w:p>
      <w:pPr>
        <w:jc w:val="both"/>
      </w:pPr>
      <w:r>
        <w:rPr/>
        <w:t xml:space="preserve"/>
      </w:r>
    </w:p>
    <w:p>
      <w:pPr>
        <w:jc w:val="both"/>
      </w:pPr>
      <w:r>
        <w:rPr/>
        <w:t xml:space="preserve">总之，该文章存在一些偏见、片面报道、缺失考虑点和宣传内容等问题，需要更加客观全面地评估光子储备计算技术及其在信息处理中的应用前景。</w:t>
      </w:r>
    </w:p>
    <w:p>
      <w:pPr>
        <w:pStyle w:val="Heading1"/>
      </w:pPr>
      <w:bookmarkStart w:id="5" w:name="_Toc5"/>
      <w:r>
        <w:t>Topics for further research:</w:t>
      </w:r>
      <w:bookmarkEnd w:id="5"/>
    </w:p>
    <w:p>
      <w:pPr>
        <w:spacing w:after="0"/>
        <w:numPr>
          <w:ilvl w:val="0"/>
          <w:numId w:val="2"/>
        </w:numPr>
      </w:pPr>
      <w:r>
        <w:rPr/>
        <w:t xml:space="preserve">计算机科学与神经科学的比较
</w:t>
      </w:r>
    </w:p>
    <w:p>
      <w:pPr>
        <w:spacing w:after="0"/>
        <w:numPr>
          <w:ilvl w:val="0"/>
          <w:numId w:val="2"/>
        </w:numPr>
      </w:pPr>
      <w:r>
        <w:rPr/>
        <w:t xml:space="preserve">光子储备计算的缺点和潜在风险
</w:t>
      </w:r>
    </w:p>
    <w:p>
      <w:pPr>
        <w:spacing w:after="0"/>
        <w:numPr>
          <w:ilvl w:val="0"/>
          <w:numId w:val="2"/>
        </w:numPr>
      </w:pPr>
      <w:r>
        <w:rPr/>
        <w:t xml:space="preserve">光子储备计算与其他新型计算方法的比较和竞争关系
</w:t>
      </w:r>
    </w:p>
    <w:p>
      <w:pPr>
        <w:spacing w:after="0"/>
        <w:numPr>
          <w:ilvl w:val="0"/>
          <w:numId w:val="2"/>
        </w:numPr>
      </w:pPr>
      <w:r>
        <w:rPr/>
        <w:t xml:space="preserve">光子储备计算的实际应用价值和市场前景
</w:t>
      </w:r>
    </w:p>
    <w:p>
      <w:pPr>
        <w:spacing w:after="0"/>
        <w:numPr>
          <w:ilvl w:val="0"/>
          <w:numId w:val="2"/>
        </w:numPr>
      </w:pPr>
      <w:r>
        <w:rPr/>
        <w:t xml:space="preserve">双方观点或证据的平等呈现
</w:t>
      </w:r>
    </w:p>
    <w:p>
      <w:pPr>
        <w:numPr>
          <w:ilvl w:val="0"/>
          <w:numId w:val="2"/>
        </w:numPr>
      </w:pPr>
      <w:r>
        <w:rPr/>
        <w:t xml:space="preserve">光子储备计算在不同领域中的具体应用场景和效果</w:t>
      </w:r>
    </w:p>
    <w:p>
      <w:pPr>
        <w:pStyle w:val="Heading1"/>
      </w:pPr>
      <w:bookmarkStart w:id="6" w:name="_Toc6"/>
      <w:r>
        <w:t>Report location:</w:t>
      </w:r>
      <w:bookmarkEnd w:id="6"/>
    </w:p>
    <w:p>
      <w:hyperlink r:id="rId8" w:history="1">
        <w:r>
          <w:rPr>
            <w:color w:val="2980b9"/>
            <w:u w:val="single"/>
          </w:rPr>
          <w:t xml:space="preserve">https://www.fullpicture.app/item/617cfab9199c7671e170d101229e65cb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92D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gruyter.com/document/doi/10.1515/nanoph-2016-0132/html" TargetMode="External"/><Relationship Id="rId8" Type="http://schemas.openxmlformats.org/officeDocument/2006/relationships/hyperlink" Target="https://www.fullpicture.app/item/617cfab9199c7671e170d101229e65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2023-12-29T08:36:10+01:00</dcterms:created>
  <dcterms:modified xsi:type="dcterms:W3CDTF">2023-12-29T08:36:10+01:00</dcterms:modified>
</cp:coreProperties>
</file>

<file path=docProps/custom.xml><?xml version="1.0" encoding="utf-8"?>
<Properties xmlns="http://schemas.openxmlformats.org/officeDocument/2006/custom-properties" xmlns:vt="http://schemas.openxmlformats.org/officeDocument/2006/docPropsVTypes"/>
</file>