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bond mutual funds and asset fire sales - ScienceDirect</w:t>
      </w:r>
      <w:br/>
      <w:hyperlink r:id="rId7" w:history="1">
        <w:r>
          <w:rPr>
            <w:color w:val="2980b9"/>
            <w:u w:val="single"/>
          </w:rPr>
          <w:t xml:space="preserve">https://vpn.jlu.edu.cn/https/6a6c7576706e6973746865676f6f642146ab1ccab988c2a628982887fb4b0f3fca7e3a30a5/science/article/pii/S0304405X20301549</w:t>
        </w:r>
      </w:hyperlink>
    </w:p>
    <w:p>
      <w:pPr>
        <w:pStyle w:val="Heading1"/>
      </w:pPr>
      <w:bookmarkStart w:id="2" w:name="_Toc2"/>
      <w:r>
        <w:t>Article summary:</w:t>
      </w:r>
      <w:bookmarkEnd w:id="2"/>
    </w:p>
    <w:p>
      <w:pPr>
        <w:jc w:val="both"/>
      </w:pPr>
      <w:r>
        <w:rPr/>
        <w:t xml:space="preserve">1. 大量资金流入企业债券互惠基金（CBMFs），但由于交易商银行的资本要求更严格，企业债券市场流动性已经枯竭。这使得监管机构和投资者越来越担心在大规模赎回时企业债券市场的稳定性。</w:t>
      </w:r>
    </w:p>
    <w:p>
      <w:pPr>
        <w:jc w:val="both"/>
      </w:pPr>
      <w:r>
        <w:rPr/>
        <w:t xml:space="preserve">2. 识别基于流量驱动的价格影响具有实证挑战，因为存在固有的端点问题。然而，通过控制可能驱动投资者流量和基金交易决策的任何时间变化的公司级信息，我们可以区分赎回引起的价格下降和基本面驱动的价格下降。</w:t>
      </w:r>
    </w:p>
    <w:p>
      <w:pPr>
        <w:jc w:val="both"/>
      </w:pPr>
      <w:r>
        <w:rPr/>
        <w:t xml:space="preserve">3. 在使用CBMFs持有数据进行实证研究时，我们发现，在区分赎回引起的价格下降和基本面驱动的价格下降后，很少有证据支持CBMF出售导致了重大债券价格下跌。</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该文章旨在探讨投资者流动性对企业债券市场的影响，特别是在大规模赎回时可能引发的资产抛售。然而，文章存在一些潜在偏见和局限性。</w:t>
      </w:r>
    </w:p>
    <w:p>
      <w:pPr>
        <w:jc w:val="both"/>
      </w:pPr>
      <w:r>
        <w:rPr/>
        <w:t xml:space="preserve"/>
      </w:r>
    </w:p>
    <w:p>
      <w:pPr>
        <w:jc w:val="both"/>
      </w:pPr>
      <w:r>
        <w:rPr/>
        <w:t xml:space="preserve">首先，文章没有充分考虑到企业债券市场的流动性问题。尽管作者提到了银行资本要求更严格导致交易商银行的平衡表容量有限，但他们没有深入探讨这个问题对企业债券市场流动性的影响。此外，文章也没有考虑到其他可能影响企业债券市场流动性的因素，如政策变化、经济衰退等。</w:t>
      </w:r>
    </w:p>
    <w:p>
      <w:pPr>
        <w:jc w:val="both"/>
      </w:pPr>
      <w:r>
        <w:rPr/>
        <w:t xml:space="preserve"/>
      </w:r>
    </w:p>
    <w:p>
      <w:pPr>
        <w:jc w:val="both"/>
      </w:pPr>
      <w:r>
        <w:rPr/>
        <w:t xml:space="preserve">其次，文章未能充分考虑基金经理的决策对价格变化的影响。作者认为基金经理只会简单地减少持仓以应对赎回压力，但实际上基金经理可能会根据自己的投资策略和风险偏好选择卖出某些债券。因此，在研究中排除了这种基本面驱动销售所带来的影响可能会导致结论出现偏差。</w:t>
      </w:r>
    </w:p>
    <w:p>
      <w:pPr>
        <w:jc w:val="both"/>
      </w:pPr>
      <w:r>
        <w:rPr/>
        <w:t xml:space="preserve"/>
      </w:r>
    </w:p>
    <w:p>
      <w:pPr>
        <w:jc w:val="both"/>
      </w:pPr>
      <w:r>
        <w:rPr/>
        <w:t xml:space="preserve">此外，文章未能充分考虑到风险管理方面的问题。尽管作者提到了投资者和监管机构对企业债券市场稳定性的担忧，但他们没有深入探讨这些担忧的根源。例如，文章未考虑到基金经理可能会采取风险管理措施来减少流动性风险，如增加现金持仓或购买更流动的债券。</w:t>
      </w:r>
    </w:p>
    <w:p>
      <w:pPr>
        <w:jc w:val="both"/>
      </w:pPr>
      <w:r>
        <w:rPr/>
        <w:t xml:space="preserve"/>
      </w:r>
    </w:p>
    <w:p>
      <w:pPr>
        <w:jc w:val="both"/>
      </w:pPr>
      <w:r>
        <w:rPr/>
        <w:t xml:space="preserve">最后，文章没有充分考虑到其他可能影响企业债券市场价格变化的因素。例如，它没有考虑到宏观经济环境、行业前景、公司财务状况等因素对企业债券市场价格变化的影响。</w:t>
      </w:r>
    </w:p>
    <w:p>
      <w:pPr>
        <w:jc w:val="both"/>
      </w:pPr>
      <w:r>
        <w:rPr/>
        <w:t xml:space="preserve"/>
      </w:r>
    </w:p>
    <w:p>
      <w:pPr>
        <w:jc w:val="both"/>
      </w:pPr>
      <w:r>
        <w:rPr/>
        <w:t xml:space="preserve">综上所述，该文章存在一些潜在偏见和局限性。尽管作者提供了一种新颖的方法来区分赎回压力引起的价格下跌和基本面驱动销售所带来的影响，但他们未能充分考虑到其他可能影响企业债券市场价格变化的因素，并且未能提供足够证据支持其结论。</w:t>
      </w:r>
    </w:p>
    <w:p>
      <w:pPr>
        <w:pStyle w:val="Heading1"/>
      </w:pPr>
      <w:bookmarkStart w:id="5" w:name="_Toc5"/>
      <w:r>
        <w:t>Topics for further research:</w:t>
      </w:r>
      <w:bookmarkEnd w:id="5"/>
    </w:p>
    <w:p>
      <w:pPr>
        <w:spacing w:after="0"/>
        <w:numPr>
          <w:ilvl w:val="0"/>
          <w:numId w:val="2"/>
        </w:numPr>
      </w:pPr>
      <w:r>
        <w:rPr/>
        <w:t xml:space="preserve">Enterprise bond market liquidity issues
</w:t>
      </w:r>
    </w:p>
    <w:p>
      <w:pPr>
        <w:spacing w:after="0"/>
        <w:numPr>
          <w:ilvl w:val="0"/>
          <w:numId w:val="2"/>
        </w:numPr>
      </w:pPr>
      <w:r>
        <w:rPr/>
        <w:t xml:space="preserve">Other factors affecting enterprise bond market liquidity
</w:t>
      </w:r>
    </w:p>
    <w:p>
      <w:pPr>
        <w:spacing w:after="0"/>
        <w:numPr>
          <w:ilvl w:val="0"/>
          <w:numId w:val="2"/>
        </w:numPr>
      </w:pPr>
      <w:r>
        <w:rPr/>
        <w:t xml:space="preserve">Impact of fund manager decisions on price changes
</w:t>
      </w:r>
    </w:p>
    <w:p>
      <w:pPr>
        <w:spacing w:after="0"/>
        <w:numPr>
          <w:ilvl w:val="0"/>
          <w:numId w:val="2"/>
        </w:numPr>
      </w:pPr>
      <w:r>
        <w:rPr/>
        <w:t xml:space="preserve">Risk management measures to reduce liquidity risk
</w:t>
      </w:r>
    </w:p>
    <w:p>
      <w:pPr>
        <w:spacing w:after="0"/>
        <w:numPr>
          <w:ilvl w:val="0"/>
          <w:numId w:val="2"/>
        </w:numPr>
      </w:pPr>
      <w:r>
        <w:rPr/>
        <w:t xml:space="preserve">Other factors affecting enterprise bond market price changes
</w:t>
      </w:r>
    </w:p>
    <w:p>
      <w:pPr>
        <w:numPr>
          <w:ilvl w:val="0"/>
          <w:numId w:val="2"/>
        </w:numPr>
      </w:pPr>
      <w:r>
        <w:rPr/>
        <w:t xml:space="preserve">Insufficient evidence to support conclusions</w:t>
      </w:r>
    </w:p>
    <w:p>
      <w:pPr>
        <w:pStyle w:val="Heading1"/>
      </w:pPr>
      <w:bookmarkStart w:id="6" w:name="_Toc6"/>
      <w:r>
        <w:t>Report location:</w:t>
      </w:r>
      <w:bookmarkEnd w:id="6"/>
    </w:p>
    <w:p>
      <w:hyperlink r:id="rId8" w:history="1">
        <w:r>
          <w:rPr>
            <w:color w:val="2980b9"/>
            <w:u w:val="single"/>
          </w:rPr>
          <w:t xml:space="preserve">https://www.fullpicture.app/item/6467297d84e473568808708ad72ba655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97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304405X20301549" TargetMode="External"/><Relationship Id="rId8" Type="http://schemas.openxmlformats.org/officeDocument/2006/relationships/hyperlink" Target="https://www.fullpicture.app/item/6467297d84e473568808708ad72ba6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2023-12-28T04:02:35+01:00</dcterms:created>
  <dcterms:modified xsi:type="dcterms:W3CDTF">2023-12-28T04:02:35+01:00</dcterms:modified>
</cp:coreProperties>
</file>

<file path=docProps/custom.xml><?xml version="1.0" encoding="utf-8"?>
<Properties xmlns="http://schemas.openxmlformats.org/officeDocument/2006/custom-properties" xmlns:vt="http://schemas.openxmlformats.org/officeDocument/2006/docPropsVTypes"/>
</file>