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Match Location, Match Status and Quality of Opposition on Regaining Possession in UEFA Champions League</w:t>
      </w:r>
      <w:br/>
      <w:hyperlink r:id="rId7" w:history="1">
        <w:r>
          <w:rPr>
            <w:color w:val="2980b9"/>
            <w:u w:val="single"/>
          </w:rPr>
          <w:t xml:space="preserve">https://sciendo.com/article/10.2478/hukin-2014-0048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本研究旨在探讨比赛场地、比赛状态和对手实力对于恢复球权的影响。</w:t>
      </w:r>
    </w:p>
    <w:p>
      <w:pPr>
        <w:jc w:val="both"/>
      </w:pPr>
      <w:r>
        <w:rPr/>
        <w:t xml:space="preserve">2. 比赛状态和对手实力对于恢复球权的方式和区域都有显著影响，而比赛场地只对恢复球权的区域有影响。</w:t>
      </w:r>
    </w:p>
    <w:p>
      <w:pPr>
        <w:jc w:val="both"/>
      </w:pPr>
      <w:r>
        <w:rPr/>
        <w:t xml:space="preserve">3. 更好的团队采用更积极的防守策略，即使在领先时也会试图从对手那里夺回球权。主场和落后的团队倾向于在更高级别的区域进行防守。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研究对象是欧洲冠军联赛中球队恢复控球的情况，但其存在一些潜在偏见和局限性。首先，该研究只考虑了2011-2012年的28场淘汰赛，而没有涵盖更广泛的时间范围和比赛类型。其次，该研究只关注了球队恢复控球的情况，而没有考虑其他方面的比赛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到了主场优势、比赛状态和对手实力等因素对球队表现的影响，但并未充分探讨这些因素之间可能存在的相互作用。例如，在主场优势和对手实力之间可能存在交互作用，这可能会影响球队恢复控球的方式和位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此外，该文章还存在一些片面报道和缺失考虑点。例如，在讨论主场优势时，并未提及客场优势或中立场地对比赛结果产生的影响。此外，在讨论比赛状态时，并未考虑比分差距对球队表现产生的影响。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最后，该文章提出了一些偏袒某些球队或策略的观点，并未提供足够证据来支持这些观点。例如，文章提到更好的球队会采用更积极的防守策略，但并未提供足够证据来支持这一观点。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和局限性，并未充分探讨相关因素之间的相互作用。此外，该文章还存在一些片面报道和缺失考虑点，并提出了一些偏袒某些球队或策略的观点，但并未提供足够证据来支持这些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时间范围和比赛类型的限制
</w:t>
      </w:r>
    </w:p>
    <w:p>
      <w:pPr>
        <w:spacing w:after="0"/>
        <w:numPr>
          <w:ilvl w:val="0"/>
          <w:numId w:val="2"/>
        </w:numPr>
      </w:pPr>
      <w:r>
        <w:rPr/>
        <w:t xml:space="preserve">其他比赛表现方面的考虑
</w:t>
      </w:r>
    </w:p>
    <w:p>
      <w:pPr>
        <w:spacing w:after="0"/>
        <w:numPr>
          <w:ilvl w:val="0"/>
          <w:numId w:val="2"/>
        </w:numPr>
      </w:pPr>
      <w:r>
        <w:rPr/>
        <w:t xml:space="preserve">相互作用因素的探讨
</w:t>
      </w:r>
    </w:p>
    <w:p>
      <w:pPr>
        <w:spacing w:after="0"/>
        <w:numPr>
          <w:ilvl w:val="0"/>
          <w:numId w:val="2"/>
        </w:numPr>
      </w:pPr>
      <w:r>
        <w:rPr/>
        <w:t xml:space="preserve">客场优势和中立场地的影响
</w:t>
      </w:r>
    </w:p>
    <w:p>
      <w:pPr>
        <w:spacing w:after="0"/>
        <w:numPr>
          <w:ilvl w:val="0"/>
          <w:numId w:val="2"/>
        </w:numPr>
      </w:pPr>
      <w:r>
        <w:rPr/>
        <w:t xml:space="preserve">比分差距对球队表现的影响
</w:t>
      </w:r>
    </w:p>
    <w:p>
      <w:pPr>
        <w:numPr>
          <w:ilvl w:val="0"/>
          <w:numId w:val="2"/>
        </w:numPr>
      </w:pPr>
      <w:r>
        <w:rPr/>
        <w:t xml:space="preserve">观点缺乏足够证据支持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https://www.fullpicture.app/item/653b8b2e9d63ecfb707896d7e5fdf3ba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AAA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do.com/article/10.2478/hukin-2014-0048" TargetMode="External"/><Relationship Id="rId8" Type="http://schemas.openxmlformats.org/officeDocument/2006/relationships/hyperlink" Target="https://www.fullpicture.app/item/653b8b2e9d63ecfb707896d7e5fdf3b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2024-01-06T02:25:54+01:00</dcterms:created>
  <dcterms:modified xsi:type="dcterms:W3CDTF">2024-01-06T02:25:54+01:00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