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Histamine and T helper cytokine-driven epithelial barrier dysfunction in allergic rhinitis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https://pubmed.ncbi.nlm.nih.gov/29074456/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Allergic rhinitis (AR) is characterized by mucosal inflammation, driven by activated immune cells such as mast cells and TH2 cells, which might decrease epithelial barrier integrity in AR, maintaining a leaky epithelial barrier.</w:t>
      </w:r>
    </w:p>
    <w:p>
      <w:pPr>
        <w:jc w:val="both"/>
      </w:pPr>
      <w:r>
        <w:rPr/>
        <w:t xml:space="preserve">2. Histamine and nasal secretions of AR patients rapidly decreased epithelial barrier integrity in vitro, while pretreatment with histamine receptor-1 antagonist prevented the early effect of nasal secretions of AR patients on epithelial integrity.</w:t>
      </w:r>
    </w:p>
    <w:p>
      <w:pPr>
        <w:jc w:val="both"/>
      </w:pPr>
      <w:r>
        <w:rPr/>
        <w:t xml:space="preserve">3. Supernatant of activated TH1 and TH2 cells impaired epithelial integrity, while treatment with anti-TNF-α or anti-IL-4Rα monoclonal antibodies restored the TH1- and TH2-induced epithelial barrier dysfunction, respectively. IL-4, IFN-γ, and TNF-α enhanced mucosal permeability in mice.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作为一篇研究性文章，该文对过敏性鼻炎的发病机制进行了探讨，并提出了一些实验结果和结论。然而，在阅读该文章时，我们需要注意以下几点：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潜在偏见及其来源：该文章没有明确说明作者的背景和利益关系，可能存在潜在的偏见。此外，该研究只涉及到少数样本和动物模型，因此其结论可能不具有普适性。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片面报道：该文章只关注了组织屏障的变化，而忽略了其他可能影响过敏性鼻炎发生和发展的因素。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无根据的主张：该文章提出了一些假设和推测，但并未提供足够的证据来支持这些主张。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缺失的考虑点：该文章没有考虑到其他可能影响组织屏障完整性的因素，如环境污染、药物使用等。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所提出主张的缺失证据：尽管该文章提出了一些假设和推测，但并未提供足够的证据来支持这些主张。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未探索的反驳：该文章没有探讨其他学者对于其结论和假设的反驳和质疑。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宣传内容：该文章可能存在一些宣传内容，如对某些药物的推广等。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偏袒：该文章可能存在对某些观点或实验结果的偏袒。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是否注意到可能的风险：该文章没有明确说明其研究可能带来的风险和不确定性。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没有平等地呈现双方：该文章只关注了过敏性鼻炎发生机制中的一部分因素，而忽略了其他可能影响过敏性鼻炎发生和发展的因素。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background and potential bias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 and hypotheses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 of other factors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proposed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https://www.fullpicture.app/item/65b7c118bd15071f123be0bc3958b648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587D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9074456/" TargetMode="External"/><Relationship Id="rId8" Type="http://schemas.openxmlformats.org/officeDocument/2006/relationships/hyperlink" Target="https://www.fullpicture.app/item/65b7c118bd15071f123be0bc3958b64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2023-12-30T09:22:05+01:00</dcterms:created>
  <dcterms:modified xsi:type="dcterms:W3CDTF">2023-12-30T09:22:05+01:00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