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 KJR :: Korean Journal of Radiology</w:t></w:r><w:br/><w:hyperlink r:id="rId7" w:history="1"><w:r><w:rPr><w:color w:val="2980b9"/><w:u w:val="single"/></w:rPr><w:t xml:space="preserve">https://kjronline.org/search.php?where=aview&id=10.3348/kjr.2022.0838&code=0068KJR&vmode=FULL</w:t></w:r></w:hyperlink></w:p><w:p><w:pPr><w:pStyle w:val="Heading1"/></w:pPr><w:bookmarkStart w:id="2" w:name="_Toc2"/><w:r><w:t>Article summary:</w:t></w:r><w:bookmarkEnd w:id="2"/></w:p><w:p><w:pPr><w:jc w:val="both"/></w:pPr><w:r><w:rPr/><w:t xml:space="preserve">1. Magnetic resonance imaging (MRI) is the preferred imaging modality for evaluating patients with focal or diffuse liver disease.</w:t></w:r></w:p><w:p><w:pPr><w:jc w:val="both"/></w:pPr><w:r><w:rPr/><w:t xml:space="preserve">2. Proton density fat fraction measurements enable unconfounded quantification of hepatic fat accumulation and are increasingly accepted for the evaluation of non-alcoholic fatty liver disease.</w:t></w:r></w:p><w:p><w:pPr><w:jc w:val="both"/></w:pPr><w:r><w:rPr/><w:t xml:space="preserve">3. Magnetic resonance elastography is currently the leading MRI technique for staging hepatic fibrosis, with stiffness measurements directly related to fibrosis stage.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“Strategies and Techniques for Liver Magnetic Resonance Imaging: New and Pending Applications for Routine Clinical Practice” provides an overview of emerging MRI techniques used in routine clinical practice or likely to be more broadly applied in the near future for the assessment of hepatic steatosis, fibrosis, and focal liver lesions (FLLs). The article is written by two authors who have expertise in radiology, which adds credibility to their claims. The article also cites relevant studies to support its claims, which further adds to its trustworthiness and reliability.</w:t></w:r></w:p><w:p><w:pPr><w:jc w:val="both"/></w:pPr><w:r><w:rPr/><w:t xml:space="preserve">However, there are some potential biases that should be noted. For example, the article does not explore any counterarguments or present both sides equally when discussing MRI techniques such as proton density fat fraction measurements and magnetic resonance elastography. Additionally, while the article mentions potential applications of these techniques such as monitoring therapeutic effects in patients with NAFLD or preoperative evaluation of living liver donor candidates, it does not discuss any possible risks associated with them. Furthermore, while the authors mention that MRI has developed from being considered as a diagnostic tool to an advanced technique for multiparametric imaging, they do not provide any evidence to support this claim.</w:t></w:r></w:p><w:p><w:pPr><w:jc w:val="both"/></w:pPr><w:r><w:rPr/><w:t xml:space="preserve">In conclusion, while this article provides a comprehensive overview of emerging MRI techniques used in routine clinical practice or likely to be more broadly applied in the near future for assessing hepatic steatosis, fibrosis, and FLLs,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Risks associated with MRI techniques</w:t></w:r></w:p><w:p><w:pPr><w:spacing w:after="0"/><w:numPr><w:ilvl w:val="0"/><w:numId w:val="2"/></w:numPr></w:pPr><w:r><w:rPr/><w:t xml:space="preserve">Magnetic resonance elastography</w:t></w:r></w:p><w:p><w:pPr><w:spacing w:after="0"/><w:numPr><w:ilvl w:val="0"/><w:numId w:val="2"/></w:numPr></w:pPr><w:r><w:rPr/><w:t xml:space="preserve">Proton density fat fraction measurements</w:t></w:r></w:p><w:p><w:pPr><w:spacing w:after="0"/><w:numPr><w:ilvl w:val="0"/><w:numId w:val="2"/></w:numPr></w:pPr><w:r><w:rPr/><w:t xml:space="preserve">Monitoring therapeutic effects in NAFLD</w:t></w:r></w:p><w:p><w:pPr><w:spacing w:after="0"/><w:numPr><w:ilvl w:val="0"/><w:numId w:val="2"/></w:numPr></w:pPr><w:r><w:rPr/><w:t xml:space="preserve">Preoperative evaluation of living liver donor candidates</w:t></w:r></w:p><w:p><w:pPr><w:numPr><w:ilvl w:val="0"/><w:numId w:val="2"/></w:numPr></w:pPr><w:r><w:rPr/><w:t xml:space="preserve">Multiparametric imaging with MRI</w:t></w:r></w:p><w:p><w:pPr><w:pStyle w:val="Heading1"/></w:pPr><w:bookmarkStart w:id="6" w:name="_Toc6"/><w:r><w:t>Report location:</w:t></w:r><w:bookmarkEnd w:id="6"/></w:p><w:p><w:hyperlink r:id="rId8" w:history="1"><w:r><w:rPr><w:color w:val="2980b9"/><w:u w:val="single"/></w:rPr><w:t xml:space="preserve">https://www.fullpicture.app/item/665952978aef50fe040ae69cd240e3ab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3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jronline.org/search.php?where=aview&amp;id=10.3348/kjr.2022.0838&amp;code=0068KJR&amp;vmode=FULL" TargetMode="External"/><Relationship Id="rId8" Type="http://schemas.openxmlformats.org/officeDocument/2006/relationships/hyperlink" Target="https://www.fullpicture.app/item/665952978aef50fe040ae69cd240e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2023-02-20T17:43:25+01:00</dcterms:created>
  <dcterms:modified xsi:type="dcterms:W3CDTF">2023-02-20T17:43:25+01:00</dcterms:modified>
</cp:coreProperties>
</file>

<file path=docProps/custom.xml><?xml version="1.0" encoding="utf-8"?>
<Properties xmlns="http://schemas.openxmlformats.org/officeDocument/2006/custom-properties" xmlns:vt="http://schemas.openxmlformats.org/officeDocument/2006/docPropsVTypes"/>
</file>