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Lett. 92, 085901 (2004) - Solute Diffusion in Metals: Larger Atoms Can Move Faster</w:t>
      </w:r>
      <w:br/>
      <w:hyperlink r:id="rId7" w:history="1">
        <w:r>
          <w:rPr>
            <w:color w:val="2980b9"/>
            <w:u w:val="single"/>
          </w:rPr>
          <w:t xml:space="preserve">https://journals.aps.org/prl/abstract/10.1103/PhysRevLett.92.085901</w:t>
        </w:r>
      </w:hyperlink>
    </w:p>
    <w:p>
      <w:pPr>
        <w:pStyle w:val="Heading1"/>
      </w:pPr>
      <w:bookmarkStart w:id="2" w:name="_Toc2"/>
      <w:r>
        <w:t>Article summary:</w:t>
      </w:r>
      <w:bookmarkEnd w:id="2"/>
    </w:p>
    <w:p>
      <w:pPr>
        <w:jc w:val="both"/>
      </w:pPr>
      <w:r>
        <w:rPr/>
        <w:t xml:space="preserve">1. First-principles calculations for the diffusion of transition metal solutes in nickel challenge the commonly accepted description of solute diffusion rates in metals.</w:t>
      </w:r>
    </w:p>
    <w:p>
      <w:pPr>
        <w:jc w:val="both"/>
      </w:pPr>
      <w:r>
        <w:rPr/>
        <w:t xml:space="preserve">2. The traditional view is that larger atoms move slower than smaller atoms, but this calculation shows the opposite: larger atoms can move much faster than smaller atoms.</w:t>
      </w:r>
    </w:p>
    <w:p>
      <w:pPr>
        <w:jc w:val="both"/>
      </w:pPr>
      <w:r>
        <w:rPr/>
        <w:t xml:space="preserve">3. The origin of this behavior stems from the bonding characteristics of the d electrons of solute atoms, suggesting that a similar diffusion trend also occurs in other types of host lattices.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is based on first-principles calculations and provides evidence to support its claims. It does not appear to be biased or one-sided, as it presents both sides of the argument and acknowledges traditional views on solute diffusion rates in metals. Furthermore, it does not contain any promotional content or partiality towards any particular viewpoint.</w:t>
      </w:r>
    </w:p>
    <w:p>
      <w:pPr>
        <w:jc w:val="both"/>
      </w:pPr>
      <w:r>
        <w:rPr/>
        <w:t xml:space="preserve">The article does not appear to have any missing points of consideration or unexplored counterarguments, as it provides evidence for its claims and acknowledges traditional views on solute diffusion rates in metals. Additionally, possible risks are noted by mentioning that conventional mechanisms involving misfit strain or solute-vacancy binding interactions cannot explain this counterintuitive diffusion trend.</w:t>
      </w:r>
    </w:p>
    <w:p>
      <w:pPr>
        <w:jc w:val="both"/>
      </w:pPr>
      <w:r>
        <w:rPr/>
        <w:t xml:space="preserve">In conclusion, the article appears to be reliable and trustworthy overall, as it provides evidence for its claims and acknowledges traditional views on solute diffusion rates in metals without being biased or one-sided.</w:t>
      </w:r>
    </w:p>
    <w:p>
      <w:pPr>
        <w:pStyle w:val="Heading1"/>
      </w:pPr>
      <w:bookmarkStart w:id="5" w:name="_Toc5"/>
      <w:r>
        <w:t>Topics for further research:</w:t>
      </w:r>
      <w:bookmarkEnd w:id="5"/>
    </w:p>
    <w:p>
      <w:pPr>
        <w:spacing w:after="0"/>
        <w:numPr>
          <w:ilvl w:val="0"/>
          <w:numId w:val="2"/>
        </w:numPr>
      </w:pPr>
      <w:r>
        <w:rPr/>
        <w:t xml:space="preserve">Solute diffusion in metals</w:t>
      </w:r>
    </w:p>
    <w:p>
      <w:pPr>
        <w:spacing w:after="0"/>
        <w:numPr>
          <w:ilvl w:val="0"/>
          <w:numId w:val="2"/>
        </w:numPr>
      </w:pPr>
      <w:r>
        <w:rPr/>
        <w:t xml:space="preserve">Diffusion mechanisms in metals</w:t>
      </w:r>
    </w:p>
    <w:p>
      <w:pPr>
        <w:spacing w:after="0"/>
        <w:numPr>
          <w:ilvl w:val="0"/>
          <w:numId w:val="2"/>
        </w:numPr>
      </w:pPr>
      <w:r>
        <w:rPr/>
        <w:t xml:space="preserve">Misfit strain and solute diffusion</w:t>
      </w:r>
    </w:p>
    <w:p>
      <w:pPr>
        <w:spacing w:after="0"/>
        <w:numPr>
          <w:ilvl w:val="0"/>
          <w:numId w:val="2"/>
        </w:numPr>
      </w:pPr>
      <w:r>
        <w:rPr/>
        <w:t xml:space="preserve">Solute-vacancy binding interactions</w:t>
      </w:r>
    </w:p>
    <w:p>
      <w:pPr>
        <w:spacing w:after="0"/>
        <w:numPr>
          <w:ilvl w:val="0"/>
          <w:numId w:val="2"/>
        </w:numPr>
      </w:pPr>
      <w:r>
        <w:rPr/>
        <w:t xml:space="preserve">Counterintuitive diffusion trends</w:t>
      </w:r>
    </w:p>
    <w:p>
      <w:pPr>
        <w:numPr>
          <w:ilvl w:val="0"/>
          <w:numId w:val="2"/>
        </w:numPr>
      </w:pPr>
      <w:r>
        <w:rPr/>
        <w:t xml:space="preserve">First-principles calculations in solute diffusion</w:t>
      </w:r>
    </w:p>
    <w:p>
      <w:pPr>
        <w:pStyle w:val="Heading1"/>
      </w:pPr>
      <w:bookmarkStart w:id="6" w:name="_Toc6"/>
      <w:r>
        <w:t>Report location:</w:t>
      </w:r>
      <w:bookmarkEnd w:id="6"/>
    </w:p>
    <w:p>
      <w:hyperlink r:id="rId8" w:history="1">
        <w:r>
          <w:rPr>
            <w:color w:val="2980b9"/>
            <w:u w:val="single"/>
          </w:rPr>
          <w:t xml:space="preserve">https://www.fullpicture.app/item/6731f7598908dbdd2030cdc29bc421ed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DEA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l/abstract/10.1103/PhysRevLett.92.085901" TargetMode="External"/><Relationship Id="rId8" Type="http://schemas.openxmlformats.org/officeDocument/2006/relationships/hyperlink" Target="https://www.fullpicture.app/item/6731f7598908dbdd2030cdc29bc421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2023-02-28T00:18:54+01:00</dcterms:created>
  <dcterms:modified xsi:type="dcterms:W3CDTF">2023-02-28T00:18:54+01:00</dcterms:modified>
</cp:coreProperties>
</file>

<file path=docProps/custom.xml><?xml version="1.0" encoding="utf-8"?>
<Properties xmlns="http://schemas.openxmlformats.org/officeDocument/2006/custom-properties" xmlns:vt="http://schemas.openxmlformats.org/officeDocument/2006/docPropsVTypes"/>
</file>