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Public Law Essentials 06: Statements of Reasons - Knowledge - Clayton Utz</w:t>
      </w:r>
      <w:br/>
      <w:hyperlink r:id="rId7" w:history="1">
        <w:r>
          <w:rPr>
            <w:color w:val="2980b9"/>
            <w:u w:val="single"/>
          </w:rPr>
          <w:t xml:space="preserve">https://www.claytonutz.com/knowledge/2022/september/public-law-essentials-06-statements-of-reasons</w:t>
        </w:r>
      </w:hyperlink>
    </w:p>
    <w:p>
      <w:pPr>
        <w:pStyle w:val="Heading1"/>
      </w:pPr>
      <w:bookmarkStart w:id="2" w:name="_Toc2"/>
      <w:r>
        <w:t>Article summary:</w:t>
      </w:r>
      <w:bookmarkEnd w:id="2"/>
    </w:p>
    <w:p>
      <w:pPr>
        <w:jc w:val="both"/>
      </w:pPr>
      <w:r>
        <w:rPr/>
        <w:t xml:space="preserve">1. A statement of reasons is a statement that explains why a decision was made and the materials and issues considered in the decision-making process. It is often required by legislation or as part of review procedures.</w:t>
      </w:r>
    </w:p>
    <w:p>
      <w:pPr>
        <w:jc w:val="both"/>
      </w:pPr>
      <w:r>
        <w:rPr/>
        <w:t xml:space="preserve">2. Decision-makers may choose to provide a statement of reasons even if not required, as it promotes good administration and can assist with reviews.</w:t>
      </w:r>
    </w:p>
    <w:p>
      <w:pPr>
        <w:jc w:val="both"/>
      </w:pPr>
      <w:r>
        <w:rPr/>
        <w:t xml:space="preserve">3. A statement of reasons should include a clear description of the decision, relevant legislation, identification of the decision-maker, an outline of the decision-making process, and detailed reasons for the decision with reference to evidence or material considered.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作为一篇关于公共法律要点的文章，本文提供了有关决策者应该何时、如何提供决策理由的信息。然而，文章存在一些偏见和不足之处。</w:t>
      </w:r>
    </w:p>
    <w:p>
      <w:pPr>
        <w:jc w:val="both"/>
      </w:pPr>
      <w:r>
        <w:rPr/>
        <w:t xml:space="preserve"/>
      </w:r>
    </w:p>
    <w:p>
      <w:pPr>
        <w:jc w:val="both"/>
      </w:pPr>
      <w:r>
        <w:rPr/>
        <w:t xml:space="preserve">首先，文章没有充分探讨决策者拒绝提供决策理由的情况。虽然文章简单地列举了一些可能的情况，但并没有深入探讨这些情况是否合理或是否符合公正原则。此外，文章也没有涉及到当一个人被拒绝提供决策理由时可以采取的救济措施。</w:t>
      </w:r>
    </w:p>
    <w:p>
      <w:pPr>
        <w:jc w:val="both"/>
      </w:pPr>
      <w:r>
        <w:rPr/>
        <w:t xml:space="preserve"/>
      </w:r>
    </w:p>
    <w:p>
      <w:pPr>
        <w:jc w:val="both"/>
      </w:pPr>
      <w:r>
        <w:rPr/>
        <w:t xml:space="preserve">其次，文章过于强调了提供决策理由的好处，但却忽略了可能存在的风险和缺陷。例如，在某些情况下，提供不充分或错误的决策理由可能会导致司法审查挑战，并最终导致该决定被撤销或修改。因此，在准备和提交任何形式的声明之前，必须仔细考虑其内容和质量。</w:t>
      </w:r>
    </w:p>
    <w:p>
      <w:pPr>
        <w:jc w:val="both"/>
      </w:pPr>
      <w:r>
        <w:rPr/>
        <w:t xml:space="preserve"/>
      </w:r>
    </w:p>
    <w:p>
      <w:pPr>
        <w:jc w:val="both"/>
      </w:pPr>
      <w:r>
        <w:rPr/>
        <w:t xml:space="preserve">最后，本文未能平等地呈现双方利益相关者（即政府机构和申请人）。尽管本文强调了申请人请求获得决策理由的权利，并指出在某些情况下，政府机构可能会选择自愿提供决策理由，但文章未能探讨政府机构可能拒绝提供决策理由的情况，或者申请人可能滥用这种权利的情况。</w:t>
      </w:r>
    </w:p>
    <w:p>
      <w:pPr>
        <w:jc w:val="both"/>
      </w:pPr>
      <w:r>
        <w:rPr/>
        <w:t xml:space="preserve"/>
      </w:r>
    </w:p>
    <w:p>
      <w:pPr>
        <w:jc w:val="both"/>
      </w:pPr>
      <w:r>
        <w:rPr/>
        <w:t xml:space="preserve">总之，本文提供了一些有用的信息和指导方针，但也存在一些偏见和不足之处。在使用本文中提供的信息时，读者应该保持警惕，并考虑其他相关因素。</w:t>
      </w:r>
    </w:p>
    <w:p>
      <w:pPr>
        <w:pStyle w:val="Heading1"/>
      </w:pPr>
      <w:bookmarkStart w:id="5" w:name="_Toc5"/>
      <w:r>
        <w:t>Topics for further research:</w:t>
      </w:r>
      <w:bookmarkEnd w:id="5"/>
    </w:p>
    <w:p>
      <w:pPr>
        <w:spacing w:after="0"/>
        <w:numPr>
          <w:ilvl w:val="0"/>
          <w:numId w:val="2"/>
        </w:numPr>
      </w:pPr>
      <w:r>
        <w:rPr/>
        <w:t xml:space="preserve">Refusal to provide decision reasons
</w:t>
      </w:r>
    </w:p>
    <w:p>
      <w:pPr>
        <w:spacing w:after="0"/>
        <w:numPr>
          <w:ilvl w:val="0"/>
          <w:numId w:val="2"/>
        </w:numPr>
      </w:pPr>
      <w:r>
        <w:rPr/>
        <w:t xml:space="preserve">Remedies for denied decision reasons
</w:t>
      </w:r>
    </w:p>
    <w:p>
      <w:pPr>
        <w:spacing w:after="0"/>
        <w:numPr>
          <w:ilvl w:val="0"/>
          <w:numId w:val="2"/>
        </w:numPr>
      </w:pPr>
      <w:r>
        <w:rPr/>
        <w:t xml:space="preserve">Risks and drawbacks of providing decision reasons
</w:t>
      </w:r>
    </w:p>
    <w:p>
      <w:pPr>
        <w:spacing w:after="0"/>
        <w:numPr>
          <w:ilvl w:val="0"/>
          <w:numId w:val="2"/>
        </w:numPr>
      </w:pPr>
      <w:r>
        <w:rPr/>
        <w:t xml:space="preserve">Insufficient or incorrect decision reasons
</w:t>
      </w:r>
    </w:p>
    <w:p>
      <w:pPr>
        <w:spacing w:after="0"/>
        <w:numPr>
          <w:ilvl w:val="0"/>
          <w:numId w:val="2"/>
        </w:numPr>
      </w:pPr>
      <w:r>
        <w:rPr/>
        <w:t xml:space="preserve">Government agencies' refusal to provide decision reasons
</w:t>
      </w:r>
    </w:p>
    <w:p>
      <w:pPr>
        <w:numPr>
          <w:ilvl w:val="0"/>
          <w:numId w:val="2"/>
        </w:numPr>
      </w:pPr>
      <w:r>
        <w:rPr/>
        <w:t xml:space="preserve">Abuse of the right to request decision reasons</w:t>
      </w:r>
    </w:p>
    <w:p>
      <w:pPr>
        <w:pStyle w:val="Heading1"/>
      </w:pPr>
      <w:bookmarkStart w:id="6" w:name="_Toc6"/>
      <w:r>
        <w:t>Report location:</w:t>
      </w:r>
      <w:bookmarkEnd w:id="6"/>
    </w:p>
    <w:p>
      <w:hyperlink r:id="rId8" w:history="1">
        <w:r>
          <w:rPr>
            <w:color w:val="2980b9"/>
            <w:u w:val="single"/>
          </w:rPr>
          <w:t xml:space="preserve">https://www.fullpicture.app/item/679b5a230b89d67adcaefcaf8f5a8d7e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A9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aytonutz.com/knowledge/2022/september/public-law-essentials-06-statements-of-reasons" TargetMode="External"/><Relationship Id="rId8" Type="http://schemas.openxmlformats.org/officeDocument/2006/relationships/hyperlink" Target="https://www.fullpicture.app/item/679b5a230b89d67adcaefcaf8f5a8d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2024-01-05T03:37:02+01:00</dcterms:created>
  <dcterms:modified xsi:type="dcterms:W3CDTF">2024-01-05T03:37:02+01:00</dcterms:modified>
</cp:coreProperties>
</file>

<file path=docProps/custom.xml><?xml version="1.0" encoding="utf-8"?>
<Properties xmlns="http://schemas.openxmlformats.org/officeDocument/2006/custom-properties" xmlns:vt="http://schemas.openxmlformats.org/officeDocument/2006/docPropsVTypes"/>
</file>