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风险与监管：澳大利亚电子烟控制状况的最新进展 - Morgan - 2019 - Internal Medicine Journal - Wiley Online Library</w:t>
      </w:r>
      <w:br/>
      <w:hyperlink r:id="rId7" w:history="1">
        <w:r>
          <w:rPr>
            <w:color w:val="2980b9"/>
            <w:u w:val="single"/>
          </w:rPr>
          <w:t xml:space="preserve">https://onlinelibrary.wiley.com/doi/10.1111/imj.14176</w:t>
        </w:r>
      </w:hyperlink>
    </w:p>
    <w:p>
      <w:pPr>
        <w:pStyle w:val="Heading1"/>
      </w:pPr>
      <w:bookmarkStart w:id="2" w:name="_Toc2"/>
      <w:r>
        <w:t>Article summary:</w:t>
      </w:r>
      <w:bookmarkEnd w:id="2"/>
    </w:p>
    <w:p>
      <w:pPr>
        <w:jc w:val="both"/>
      </w:pPr>
      <w:r>
        <w:rPr/>
        <w:t xml:space="preserve">1. 澳大利亚现行法规将用于电子烟的尼古丁列为附表 7 中的危险毒药，其供应或销售在所有州和领地都是非法的，而电子烟和配件的销售法规因州而异。</w:t>
      </w:r>
    </w:p>
    <w:p>
      <w:pPr>
        <w:jc w:val="both"/>
      </w:pPr>
      <w:r>
        <w:rPr/>
        <w:t xml:space="preserve">2. 尽管摄入含尼古丁的电子液体相对罕见，但它是与电子烟使用相关的主要毒理学风险。</w:t>
      </w:r>
    </w:p>
    <w:p>
      <w:pPr>
        <w:jc w:val="both"/>
      </w:pPr>
      <w:r>
        <w:rPr/>
        <w:t xml:space="preserve">3. 越来越多的证据表明电子烟产生的有毒副产品远少于可燃电子烟，也许是时候审查澳大利亚现行法规。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该文章主要讨论了澳大利亚电子烟控制的现状和可能需要审查现行法规的观点。然而，该文章存在一些偏见和片面报道。</w:t>
      </w:r>
    </w:p>
    <w:p>
      <w:pPr>
        <w:jc w:val="both"/>
      </w:pPr>
      <w:r>
        <w:rPr/>
        <w:t xml:space="preserve"/>
      </w:r>
    </w:p>
    <w:p>
      <w:pPr>
        <w:jc w:val="both"/>
      </w:pPr>
      <w:r>
        <w:rPr/>
        <w:t xml:space="preserve">首先，该文章没有提到电子烟使用对健康的潜在风险。虽然作者提到了含尼古丁的电子液体是与使用相关的主要毒理学风险，但他们没有探讨其他可能的健康影响，如呼吸系统问题、心血管问题等。这种不平衡的报道可能会误导读者认为电子烟是相对安全的。</w:t>
      </w:r>
    </w:p>
    <w:p>
      <w:pPr>
        <w:jc w:val="both"/>
      </w:pPr>
      <w:r>
        <w:rPr/>
        <w:t xml:space="preserve"/>
      </w:r>
    </w:p>
    <w:p>
      <w:pPr>
        <w:jc w:val="both"/>
      </w:pPr>
      <w:r>
        <w:rPr/>
        <w:t xml:space="preserve">其次，该文章没有提供足够的证据来支持审查现行法规的观点。虽然作者提到了越来越多的证据表明电子烟产生的有毒副产品远少于可燃电子烟，但他们没有具体说明这些证据是什么，并且也没有考虑到其他可能存在的风险因素。因此，他们所提出主张缺乏充分证据支持。</w:t>
      </w:r>
    </w:p>
    <w:p>
      <w:pPr>
        <w:jc w:val="both"/>
      </w:pPr>
      <w:r>
        <w:rPr/>
        <w:t xml:space="preserve"/>
      </w:r>
    </w:p>
    <w:p>
      <w:pPr>
        <w:jc w:val="both"/>
      </w:pPr>
      <w:r>
        <w:rPr/>
        <w:t xml:space="preserve">此外，该文章也没有探讨反驳意见或其他可能存在的观点。例如，一些人认为应该更加严格地控制电子烟使用和销售，以避免年轻人接触到尼古丁和其他有害物质。该文章没有平等地呈现双方的观点，这可能会导致读者对问题的理解不够全面。</w:t>
      </w:r>
    </w:p>
    <w:p>
      <w:pPr>
        <w:jc w:val="both"/>
      </w:pPr>
      <w:r>
        <w:rPr/>
        <w:t xml:space="preserve"/>
      </w:r>
    </w:p>
    <w:p>
      <w:pPr>
        <w:jc w:val="both"/>
      </w:pPr>
      <w:r>
        <w:rPr/>
        <w:t xml:space="preserve">最后，该文章可能存在一些宣传内容和偏袒。作者没有提到他们是否收到任何与电子烟相关的利益冲突，并且他们所提出的观点似乎更倾向于支持电子烟使用而非控制。这种偏袒可能会影响读者对问题的看法。</w:t>
      </w:r>
    </w:p>
    <w:p>
      <w:pPr>
        <w:jc w:val="both"/>
      </w:pPr>
      <w:r>
        <w:rPr/>
        <w:t xml:space="preserve"/>
      </w:r>
    </w:p>
    <w:p>
      <w:pPr>
        <w:jc w:val="both"/>
      </w:pPr>
      <w:r>
        <w:rPr/>
        <w:t xml:space="preserve">综上所述，该文章存在一些偏见和片面报道，缺乏充分证据支持其观点，并且未能探讨其他可能存在的风险因素和反驳意见。因此，读者应该谨慎对待其中所提出的主张。</w:t>
      </w:r>
    </w:p>
    <w:p>
      <w:pPr>
        <w:pStyle w:val="Heading1"/>
      </w:pPr>
      <w:bookmarkStart w:id="5" w:name="_Toc5"/>
      <w:r>
        <w:t>Topics for further research:</w:t>
      </w:r>
      <w:bookmarkEnd w:id="5"/>
    </w:p>
    <w:p>
      <w:pPr>
        <w:spacing w:after="0"/>
        <w:numPr>
          <w:ilvl w:val="0"/>
          <w:numId w:val="2"/>
        </w:numPr>
      </w:pPr>
      <w:r>
        <w:rPr/>
        <w:t xml:space="preserve">Potential health risks of e-cigarette use
</w:t>
      </w:r>
    </w:p>
    <w:p>
      <w:pPr>
        <w:spacing w:after="0"/>
        <w:numPr>
          <w:ilvl w:val="0"/>
          <w:numId w:val="2"/>
        </w:numPr>
      </w:pPr>
      <w:r>
        <w:rPr/>
        <w:t xml:space="preserve">Evidence supporting the need for regulation of e-cigarettes
</w:t>
      </w:r>
    </w:p>
    <w:p>
      <w:pPr>
        <w:spacing w:after="0"/>
        <w:numPr>
          <w:ilvl w:val="0"/>
          <w:numId w:val="2"/>
        </w:numPr>
      </w:pPr>
      <w:r>
        <w:rPr/>
        <w:t xml:space="preserve">Other potential risks and factors to consider in e-cigarette control
</w:t>
      </w:r>
    </w:p>
    <w:p>
      <w:pPr>
        <w:spacing w:after="0"/>
        <w:numPr>
          <w:ilvl w:val="0"/>
          <w:numId w:val="2"/>
        </w:numPr>
      </w:pPr>
      <w:r>
        <w:rPr/>
        <w:t xml:space="preserve">Counterarguments to the author's viewpoint
</w:t>
      </w:r>
    </w:p>
    <w:p>
      <w:pPr>
        <w:spacing w:after="0"/>
        <w:numPr>
          <w:ilvl w:val="0"/>
          <w:numId w:val="2"/>
        </w:numPr>
      </w:pPr>
      <w:r>
        <w:rPr/>
        <w:t xml:space="preserve">Possible biases or conflicts of interest in the article
</w:t>
      </w:r>
    </w:p>
    <w:p>
      <w:pPr>
        <w:numPr>
          <w:ilvl w:val="0"/>
          <w:numId w:val="2"/>
        </w:numPr>
      </w:pPr>
      <w:r>
        <w:rPr/>
        <w:t xml:space="preserve">Overall limitations and considerations in interpreting the article's claims</w:t>
      </w:r>
    </w:p>
    <w:p>
      <w:pPr>
        <w:pStyle w:val="Heading1"/>
      </w:pPr>
      <w:bookmarkStart w:id="6" w:name="_Toc6"/>
      <w:r>
        <w:t>Report location:</w:t>
      </w:r>
      <w:bookmarkEnd w:id="6"/>
    </w:p>
    <w:p>
      <w:hyperlink r:id="rId8" w:history="1">
        <w:r>
          <w:rPr>
            <w:color w:val="2980b9"/>
            <w:u w:val="single"/>
          </w:rPr>
          <w:t xml:space="preserve">https://www.fullpicture.app/item/684f290e98a8c7e1dc8cf6aa43e2a0f5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0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mj.14176" TargetMode="External"/><Relationship Id="rId8" Type="http://schemas.openxmlformats.org/officeDocument/2006/relationships/hyperlink" Target="https://www.fullpicture.app/item/684f290e98a8c7e1dc8cf6aa43e2a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2024-01-20T14:03:12+01:00</dcterms:created>
  <dcterms:modified xsi:type="dcterms:W3CDTF">2024-01-20T14:03:12+01:00</dcterms:modified>
</cp:coreProperties>
</file>

<file path=docProps/custom.xml><?xml version="1.0" encoding="utf-8"?>
<Properties xmlns="http://schemas.openxmlformats.org/officeDocument/2006/custom-properties" xmlns:vt="http://schemas.openxmlformats.org/officeDocument/2006/docPropsVTypes"/>
</file>