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CMT2D neuropathy is linked to the neomorphic binding activity of glycyl-tRNA synthetase | Nature</w:t>
      </w:r>
      <w:br/>
      <w:hyperlink r:id="rId7" w:history="1">
        <w:r>
          <w:rPr>
            <w:color w:val="2980b9"/>
            <w:u w:val="single"/>
          </w:rPr>
          <w:t xml:space="preserve">https://www.nature.com/articles/nature15510</w:t>
        </w:r>
      </w:hyperlink>
    </w:p>
    <w:p>
      <w:pPr>
        <w:pStyle w:val="Heading1"/>
      </w:pPr>
      <w:bookmarkStart w:id="2" w:name="_Toc2"/>
      <w:r>
        <w:t>Article summary:</w:t>
      </w:r>
      <w:bookmarkEnd w:id="2"/>
    </w:p>
    <w:p>
      <w:pPr>
        <w:jc w:val="both"/>
      </w:pPr>
      <w:r>
        <w:rPr/>
        <w:t xml:space="preserve">1. CMT2D is a group of inherited disorders that affect the peripheral nervous system, and GARS mutations have been identified as the first gene implicated in CMT.</w:t>
      </w:r>
    </w:p>
    <w:p>
      <w:pPr>
        <w:jc w:val="both"/>
      </w:pPr>
      <w:r>
        <w:rPr/>
        <w:t xml:space="preserve">2. Evidence has revealed that GlyRS can be secreted from cells and influence cell signalling.</w:t>
      </w:r>
    </w:p>
    <w:p>
      <w:pPr>
        <w:jc w:val="both"/>
      </w:pPr>
      <w:r>
        <w:rPr/>
        <w:t xml:space="preserve">3. Mutations in GlyRS are linked to CMT2D, with some affecting the aminoacylation enzyme activity and others not, and these mutations cause neomorphic structural opening at the dimer interface of GlyRS.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research into CMT2D neuropathy and its link to neomorphic binding activity of glycyl-tRNA synthetase. The article is well-written and provides a comprehensive overview of the research conducted on this topic, including genetic experiments, protein pull-down assays, immunoprecipitations, biolayer interferometry, and biosensor tests. The article also presents evidence for the link between GARS mutations and CMT2D as well as evidence for neomorphic structural opening at the dimer interface of GlyRS caused by these mutations. </w:t>
      </w:r>
    </w:p>
    <w:p>
      <w:pPr>
        <w:jc w:val="both"/>
      </w:pPr>
      <w:r>
        <w:rPr/>
        <w:t xml:space="preserve">The article appears to be reliable overall; however, there are some potential biases that should be noted. For example, while the article does provide evidence for both sides of the argument (i.e., those who believe GARS mutations are linked to CMT2D and those who do not), it does not present both sides equally or explore counterarguments in depth. Additionally, while the article does provide evidence for its claims, it does not always provide sufficient evidence or explore all possible risks associated with its claims (e.g., potential side effects). Furthermore, some of the language used in the article could be seen as promotional (e.g., “emerging evidence”). </w:t>
      </w:r>
    </w:p>
    <w:p>
      <w:pPr>
        <w:jc w:val="both"/>
      </w:pPr>
      <w:r>
        <w:rPr/>
        <w:t xml:space="preserve">In conclusion, while this article is generally reliable overall,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CMT2D neuropathy</w:t>
      </w:r>
    </w:p>
    <w:p>
      <w:pPr>
        <w:spacing w:after="0"/>
        <w:numPr>
          <w:ilvl w:val="0"/>
          <w:numId w:val="2"/>
        </w:numPr>
      </w:pPr>
      <w:r>
        <w:rPr/>
        <w:t xml:space="preserve">GARS mutations</w:t>
      </w:r>
    </w:p>
    <w:p>
      <w:pPr>
        <w:spacing w:after="0"/>
        <w:numPr>
          <w:ilvl w:val="0"/>
          <w:numId w:val="2"/>
        </w:numPr>
      </w:pPr>
      <w:r>
        <w:rPr/>
        <w:t xml:space="preserve">Neomorphic binding activity</w:t>
      </w:r>
    </w:p>
    <w:p>
      <w:pPr>
        <w:spacing w:after="0"/>
        <w:numPr>
          <w:ilvl w:val="0"/>
          <w:numId w:val="2"/>
        </w:numPr>
      </w:pPr>
      <w:r>
        <w:rPr/>
        <w:t xml:space="preserve">Glycyl-tRNA synthetase</w:t>
      </w:r>
    </w:p>
    <w:p>
      <w:pPr>
        <w:spacing w:after="0"/>
        <w:numPr>
          <w:ilvl w:val="0"/>
          <w:numId w:val="2"/>
        </w:numPr>
      </w:pPr>
      <w:r>
        <w:rPr/>
        <w:t xml:space="preserve">Protein pull-down assays</w:t>
      </w:r>
    </w:p>
    <w:p>
      <w:pPr>
        <w:numPr>
          <w:ilvl w:val="0"/>
          <w:numId w:val="2"/>
        </w:numPr>
      </w:pPr>
      <w:r>
        <w:rPr/>
        <w:t xml:space="preserve">Biolayer interferometry</w:t>
      </w:r>
    </w:p>
    <w:p>
      <w:pPr>
        <w:pStyle w:val="Heading1"/>
      </w:pPr>
      <w:bookmarkStart w:id="6" w:name="_Toc6"/>
      <w:r>
        <w:t>Report location:</w:t>
      </w:r>
      <w:bookmarkEnd w:id="6"/>
    </w:p>
    <w:p>
      <w:hyperlink r:id="rId8" w:history="1">
        <w:r>
          <w:rPr>
            <w:color w:val="2980b9"/>
            <w:u w:val="single"/>
          </w:rPr>
          <w:t xml:space="preserve">https://www.fullpicture.app/item/68a625c49550cb73075192558447110f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0AD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15510" TargetMode="External"/><Relationship Id="rId8" Type="http://schemas.openxmlformats.org/officeDocument/2006/relationships/hyperlink" Target="https://www.fullpicture.app/item/68a625c49550cb7307519255844711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2023-02-23T15:50:27+01:00</dcterms:created>
  <dcterms:modified xsi:type="dcterms:W3CDTF">2023-02-23T15:50:27+01:00</dcterms:modified>
</cp:coreProperties>
</file>

<file path=docProps/custom.xml><?xml version="1.0" encoding="utf-8"?>
<Properties xmlns="http://schemas.openxmlformats.org/officeDocument/2006/custom-properties" xmlns:vt="http://schemas.openxmlformats.org/officeDocument/2006/docPropsVTypes"/>
</file>