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Graphitic carbon nitride/few-layer graphene heterostructures for enhanced visible-LED photocatalytic hydrogen generation - ScienceDirect</w:t>
      </w:r>
      <w:br/>
      <w:hyperlink r:id="rId7" w:history="1">
        <w:r>
          <w:rPr>
            <w:color w:val="2980b9"/>
            <w:u w:val="single"/>
          </w:rPr>
          <w:t xml:space="preserve">https://www.sciencedirect.com/science/article/pii/S0360319922024879?via%3Dihub</w:t>
        </w:r>
      </w:hyperlink>
    </w:p>
    <w:p>
      <w:pPr>
        <w:pStyle w:val="Heading1"/>
      </w:pPr>
      <w:bookmarkStart w:id="2" w:name="_Toc2"/>
      <w:r>
        <w:t>Article summary:</w:t>
      </w:r>
      <w:bookmarkEnd w:id="2"/>
    </w:p>
    <w:p>
      <w:pPr>
        <w:jc w:val="both"/>
      </w:pPr>
      <w:r>
        <w:rPr/>
        <w:t xml:space="preserve">1. Few-layer graphene (FLG) and graphitic carbon nitride (GCN) were assembled to form novel 2D/2D xFLGy/GCN heterostructures.</w:t>
      </w:r>
    </w:p>
    <w:p>
      <w:pPr>
        <w:jc w:val="both"/>
      </w:pPr>
      <w:r>
        <w:rPr/>
        <w:t xml:space="preserve">2. The heterostructures showed higher photocatalytic activity than pure GCN, with the best performing material generating 1274 g−1 h−1 of H2.</w:t>
      </w:r>
    </w:p>
    <w:p>
      <w:pPr>
        <w:jc w:val="both"/>
      </w:pPr>
      <w:r>
        <w:rPr/>
        <w:t xml:space="preserve">3. The improved photoactivity was attributed to efficient charge separation of photoinduced electron-hole pairs, increased surface area, and enhanced visible light absorption.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“Graphitic Carbon Nitride/Few-Layer Graphene Heterostructures for Enhanced Visible-LED Photocatalytic Hydrogen Generation” is a well-written and comprehensive overview of the potential of few-layer graphene (FLG) and graphitic carbon nitride (GCN) heterostructures for photocatalytic hydrogen generation under visible light irradiation. The authors provide a thorough description of the materials used in their experiments, as well as detailed information on the characterization techniques employed to analyze them. Furthermore, they present clear evidence that supports their claims regarding the improved performance of these heterostructures compared to pure GCN. </w:t>
      </w:r>
    </w:p>
    <w:p>
      <w:pPr>
        <w:jc w:val="both"/>
      </w:pPr>
      <w:r>
        <w:rPr/>
        <w:t xml:space="preserve">However, there are some points that could be further explored in order to make this article more reliable and trustworthy. For example, while the authors discuss how FLG loading and morphology can affect photoactivity, they do not provide any data or evidence to support this claim. Additionally, while they mention that other strategies have been proposed to improve GCN’s performance such as doping or sensitization with dyes, they do not explore these strategies in detail or compare them with their own results. Finally, while they note that microwave thermolysis can increase crystallinity and induce n-π∗ transitions in GCN, they do not discuss any potential risks associated with this technique or its effects on the environment. </w:t>
      </w:r>
    </w:p>
    <w:p>
      <w:pPr>
        <w:jc w:val="both"/>
      </w:pPr>
      <w:r>
        <w:rPr/>
        <w:t xml:space="preserve">In conclusion, this article provides an informative overview of FLG/GCN heterostructures for photocatalytic hydrogen generation under visible light irradiation; however it could benefit from further exploration into certain topics such as FLG loading and morphology effects on photoactivity as well as other strategies for improving GCN’s performance and potential risks associated with microwave thermolysis.</w:t>
      </w:r>
    </w:p>
    <w:p>
      <w:pPr>
        <w:pStyle w:val="Heading1"/>
      </w:pPr>
      <w:bookmarkStart w:id="5" w:name="_Toc5"/>
      <w:r>
        <w:t>Topics for further research:</w:t>
      </w:r>
      <w:bookmarkEnd w:id="5"/>
    </w:p>
    <w:p>
      <w:pPr>
        <w:spacing w:after="0"/>
        <w:numPr>
          <w:ilvl w:val="0"/>
          <w:numId w:val="2"/>
        </w:numPr>
      </w:pPr>
      <w:r>
        <w:rPr/>
        <w:t xml:space="preserve">FLG loading effects on photoactivity</w:t>
      </w:r>
    </w:p>
    <w:p>
      <w:pPr>
        <w:spacing w:after="0"/>
        <w:numPr>
          <w:ilvl w:val="0"/>
          <w:numId w:val="2"/>
        </w:numPr>
      </w:pPr>
      <w:r>
        <w:rPr/>
        <w:t xml:space="preserve">GCN doping strategies</w:t>
      </w:r>
    </w:p>
    <w:p>
      <w:pPr>
        <w:spacing w:after="0"/>
        <w:numPr>
          <w:ilvl w:val="0"/>
          <w:numId w:val="2"/>
        </w:numPr>
      </w:pPr>
      <w:r>
        <w:rPr/>
        <w:t xml:space="preserve">GCN sensitization with dyes</w:t>
      </w:r>
    </w:p>
    <w:p>
      <w:pPr>
        <w:spacing w:after="0"/>
        <w:numPr>
          <w:ilvl w:val="0"/>
          <w:numId w:val="2"/>
        </w:numPr>
      </w:pPr>
      <w:r>
        <w:rPr/>
        <w:t xml:space="preserve">Microwave thermolysis risks</w:t>
      </w:r>
    </w:p>
    <w:p>
      <w:pPr>
        <w:spacing w:after="0"/>
        <w:numPr>
          <w:ilvl w:val="0"/>
          <w:numId w:val="2"/>
        </w:numPr>
      </w:pPr>
      <w:r>
        <w:rPr/>
        <w:t xml:space="preserve">Environmental effects of microwave thermolysis</w:t>
      </w:r>
    </w:p>
    <w:p>
      <w:pPr>
        <w:numPr>
          <w:ilvl w:val="0"/>
          <w:numId w:val="2"/>
        </w:numPr>
      </w:pPr>
      <w:r>
        <w:rPr/>
        <w:t xml:space="preserve">Comparison of GCN doping and sensitization strategies</w:t>
      </w:r>
    </w:p>
    <w:p>
      <w:pPr>
        <w:pStyle w:val="Heading1"/>
      </w:pPr>
      <w:bookmarkStart w:id="6" w:name="_Toc6"/>
      <w:r>
        <w:t>Report location:</w:t>
      </w:r>
      <w:bookmarkEnd w:id="6"/>
    </w:p>
    <w:p>
      <w:hyperlink r:id="rId8" w:history="1">
        <w:r>
          <w:rPr>
            <w:color w:val="2980b9"/>
            <w:u w:val="single"/>
          </w:rPr>
          <w:t xml:space="preserve">https://www.fullpicture.app/item/6b305770f6122a03fa430523f21a292d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5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24879?via%3Dihub" TargetMode="External"/><Relationship Id="rId8" Type="http://schemas.openxmlformats.org/officeDocument/2006/relationships/hyperlink" Target="https://www.fullpicture.app/item/6b305770f6122a03fa430523f21a2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2023-02-23T22:52:11+01:00</dcterms:created>
  <dcterms:modified xsi:type="dcterms:W3CDTF">2023-02-23T22:52:11+01:00</dcterms:modified>
</cp:coreProperties>
</file>

<file path=docProps/custom.xml><?xml version="1.0" encoding="utf-8"?>
<Properties xmlns="http://schemas.openxmlformats.org/officeDocument/2006/custom-properties" xmlns:vt="http://schemas.openxmlformats.org/officeDocument/2006/docPropsVTypes"/>
</file>