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Detection of the secondary, low-affinity β1 -adrenoceptor site in living cells using the fluorescent CGP 12177 derivative BODIPY-TMR-CGP - PubMed</w:t>
      </w:r>
      <w:br/>
      <w:hyperlink r:id="rId7" w:history="1">
        <w:r>
          <w:rPr>
            <w:color w:val="2980b9"/>
            <w:u w:val="single"/>
          </w:rPr>
          <w:t xml:space="preserve">https://pubmed.ncbi.nlm.nih.gov/25052258/</w:t>
        </w:r>
      </w:hyperlink>
    </w:p>
    <w:p>
      <w:pPr>
        <w:pStyle w:val="Heading1"/>
      </w:pPr>
      <w:bookmarkStart w:id="2" w:name="_Toc2"/>
      <w:r>
        <w:t>Article summary:</w:t>
      </w:r>
      <w:bookmarkEnd w:id="2"/>
    </w:p>
    <w:p>
      <w:pPr>
        <w:jc w:val="both"/>
      </w:pPr>
      <w:r>
        <w:rPr/>
        <w:t xml:space="preserve">1. The fluorescent CGP 12177 analogue BODIPY-TMR-CGP was used to investigate receptor-ligand interactions at the secondary binding site of the β1 -adrenoceptor.</w:t>
      </w:r>
    </w:p>
    <w:p>
      <w:pPr>
        <w:jc w:val="both"/>
      </w:pPr>
      <w:r>
        <w:rPr/>
        <w:t xml:space="preserve">2. BODIPY-TMR-CGP displayed a pharmacological profile similar to that of CGP 12177, retaining agonist activity at the secondary β1 -adrenoceptor site.</w:t>
      </w:r>
    </w:p>
    <w:p>
      <w:pPr>
        <w:jc w:val="both"/>
      </w:pPr>
      <w:r>
        <w:rPr/>
        <w:t xml:space="preserve">3. Using a wider concentration range of labelled ligand in a high-content fluorescence-based binding assay than is possible in radioligand binding assays, two-site inhibition binding curves of β-adrenoceptor antagonists were revealed in CHO cells expressing the human β1 -adrenoceptor.</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“Detection of the secondary, low-affinity β1 -adrenoceptor site in living cells using the fluorescent CGP 12177 derivative BODIPY-TMR-CGP” is generally reliable and trustworthy. The authors provide evidence for their claims by conducting experiments and providing data from them, as well as citing relevant literature to support their findings. The article does not appear to be biased or one sided, as it presents both sides of the argument equally and provides evidence for both sides. Furthermore, there are no unsupported claims or missing points of consideration; all claims are backed up with evidence and all relevant points are discussed thoroughly. Additionally, there are no promotional content or partiality present in the article; it is purely scientific and objective in its approach. Finally, possible risks are noted throughout the article and discussed in detail. In conclusion, this article is reliable and trustworthy due to its thoroughness and lack of bias or partiality.</w:t>
      </w:r>
    </w:p>
    <w:p>
      <w:pPr>
        <w:pStyle w:val="Heading1"/>
      </w:pPr>
      <w:bookmarkStart w:id="5" w:name="_Toc5"/>
      <w:r>
        <w:t>Topics for further research:</w:t>
      </w:r>
      <w:bookmarkEnd w:id="5"/>
    </w:p>
    <w:p>
      <w:pPr>
        <w:spacing w:after="0"/>
        <w:numPr>
          <w:ilvl w:val="0"/>
          <w:numId w:val="2"/>
        </w:numPr>
      </w:pPr>
      <w:r>
        <w:rPr/>
        <w:t xml:space="preserve">β1-adrenoceptor function</w:t>
      </w:r>
    </w:p>
    <w:p>
      <w:pPr>
        <w:spacing w:after="0"/>
        <w:numPr>
          <w:ilvl w:val="0"/>
          <w:numId w:val="2"/>
        </w:numPr>
      </w:pPr>
      <w:r>
        <w:rPr/>
        <w:t xml:space="preserve">Fluorescent CGP 12177</w:t>
      </w:r>
    </w:p>
    <w:p>
      <w:pPr>
        <w:spacing w:after="0"/>
        <w:numPr>
          <w:ilvl w:val="0"/>
          <w:numId w:val="2"/>
        </w:numPr>
      </w:pPr>
      <w:r>
        <w:rPr/>
        <w:t xml:space="preserve">BODIPY-TMR-CGP</w:t>
      </w:r>
    </w:p>
    <w:p>
      <w:pPr>
        <w:spacing w:after="0"/>
        <w:numPr>
          <w:ilvl w:val="0"/>
          <w:numId w:val="2"/>
        </w:numPr>
      </w:pPr>
      <w:r>
        <w:rPr/>
        <w:t xml:space="preserve">Secondary low-affinity receptors</w:t>
      </w:r>
    </w:p>
    <w:p>
      <w:pPr>
        <w:spacing w:after="0"/>
        <w:numPr>
          <w:ilvl w:val="0"/>
          <w:numId w:val="2"/>
        </w:numPr>
      </w:pPr>
      <w:r>
        <w:rPr/>
        <w:t xml:space="preserve">Cell signaling pathways</w:t>
      </w:r>
    </w:p>
    <w:p>
      <w:pPr>
        <w:numPr>
          <w:ilvl w:val="0"/>
          <w:numId w:val="2"/>
        </w:numPr>
      </w:pPr>
      <w:r>
        <w:rPr/>
        <w:t xml:space="preserve">Receptor-ligand interactions</w:t>
      </w:r>
    </w:p>
    <w:p>
      <w:pPr>
        <w:pStyle w:val="Heading1"/>
      </w:pPr>
      <w:bookmarkStart w:id="6" w:name="_Toc6"/>
      <w:r>
        <w:t>Report location:</w:t>
      </w:r>
      <w:bookmarkEnd w:id="6"/>
    </w:p>
    <w:p>
      <w:hyperlink r:id="rId8" w:history="1">
        <w:r>
          <w:rPr>
            <w:color w:val="2980b9"/>
            <w:u w:val="single"/>
          </w:rPr>
          <w:t xml:space="preserve">https://www.fullpicture.app/item/6b7021597bb5db14c2a4bcf7866a564e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A88E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5052258/" TargetMode="External"/><Relationship Id="rId8" Type="http://schemas.openxmlformats.org/officeDocument/2006/relationships/hyperlink" Target="https://www.fullpicture.app/item/6b7021597bb5db14c2a4bcf7866a564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2023-02-21T18:01:17+01:00</dcterms:created>
  <dcterms:modified xsi:type="dcterms:W3CDTF">2023-02-21T18:01:17+01:00</dcterms:modified>
</cp:coreProperties>
</file>

<file path=docProps/custom.xml><?xml version="1.0" encoding="utf-8"?>
<Properties xmlns="http://schemas.openxmlformats.org/officeDocument/2006/custom-properties" xmlns:vt="http://schemas.openxmlformats.org/officeDocument/2006/docPropsVTypes"/>
</file>