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potential role of peace, justice, and strong institutions in Colombia's areas of limited statehood for energy diversification towards governance in energy democracy - ScienceDirect</w:t>
      </w:r>
      <w:br/>
      <w:hyperlink r:id="rId7" w:history="1">
        <w:r>
          <w:rPr>
            <w:color w:val="2980b9"/>
            <w:u w:val="single"/>
          </w:rPr>
          <w:t xml:space="preserve">https://www.sciencedirect.com/science/article/pii/S0301421522003603</w:t>
        </w:r>
      </w:hyperlink>
    </w:p>
    <w:p>
      <w:pPr>
        <w:pStyle w:val="Heading1"/>
      </w:pPr>
      <w:bookmarkStart w:id="2" w:name="_Toc2"/>
      <w:r>
        <w:t>Article summary:</w:t>
      </w:r>
      <w:bookmarkEnd w:id="2"/>
    </w:p>
    <w:p>
      <w:pPr>
        <w:jc w:val="both"/>
      </w:pPr>
      <w:r>
        <w:rPr/>
        <w:t xml:space="preserve">1. Weak institutions are a major obstacle to Colombia's energy transition.</w:t>
      </w:r>
    </w:p>
    <w:p>
      <w:pPr>
        <w:jc w:val="both"/>
      </w:pPr>
      <w:r>
        <w:rPr/>
        <w:t xml:space="preserve">2. Colombia's energy policy considers green investment a market opportunity rather than a way of institution building or phasing down fossil fuels.</w:t>
      </w:r>
    </w:p>
    <w:p>
      <w:pPr>
        <w:jc w:val="both"/>
      </w:pPr>
      <w:r>
        <w:rPr/>
        <w:t xml:space="preserve">3. Good governance and strong institutions are critical for implementing energy policy and achieving the energy transition.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potential role of peace, justice, and strong institutions in Colombia’s areas of limited statehood for energy diversification towards governance in energy democracy” is an informative piece that provides insight into the current state of Colombia’s energy policy and its potential for sustainable development and renewable energy diversification. The article is well-written and provides a comprehensive overview of the issues at hand, as well as potential solutions to these issues. However, there are some areas where the article could be improved upon in terms of trustworthiness and reliability. </w:t>
      </w:r>
    </w:p>
    <w:p>
      <w:pPr>
        <w:jc w:val="both"/>
      </w:pPr>
      <w:r>
        <w:rPr/>
        <w:t xml:space="preserve">First, the article does not provide any evidence to support its claims about weak institutions being a major obstacle to Colombia’s energy transition or how green investment is being considered as a market opportunity rather than institution building or phasing down fossil fuels. This lack of evidence makes it difficult to assess the accuracy of these claims and whether they are supported by facts or simply opinionated statements. Additionally, while the article does mention indigenous people in relation to small-scale green investment initiatives, it does not provide any information on how this population has been involved in decision-making processes related to Colombia’s energy policy or what their opinions on this matter may be. This lack of information leaves out an important perspective that should be taken into consideration when discussing such topics. </w:t>
      </w:r>
    </w:p>
    <w:p>
      <w:pPr>
        <w:jc w:val="both"/>
      </w:pPr>
      <w:r>
        <w:rPr/>
        <w:t xml:space="preserve">Furthermore, while the article does discuss global geopolitical events such as COVID-19 and the Russian invasion of Ukraine, it fails to mention other possible factors that could affect policies on fossil fuels and decarbonisation such as economic instability or political unrest within Colombia itself. This omission leaves out important considerations that should be taken into account when discussing such topics. </w:t>
      </w:r>
    </w:p>
    <w:p>
      <w:pPr>
        <w:jc w:val="both"/>
      </w:pPr>
      <w:r>
        <w:rPr/>
        <w:t xml:space="preserve">In conclusion, while this article provides an informative overview of Colombia’s current energy policy situation and potential solutions for sustainable development and renewable energy diversification, it lacks evidence to support its claims about weak institutions being a major obstacle to Colombia’s energy transition or how green investment is being considered as a market opportunity rather than institution building or phasing down fossil fuels; it also fails to mention other possible factors that could affect policies on fossil fuels and decarbonisation such as economic instability or political unrest within Colombia itself; finally, it does not provide any information on how indigenous people have been involved in decision-making processes related to Colombia’s energy policy or what their opinions on this matter may be.</w:t>
      </w:r>
    </w:p>
    <w:p>
      <w:pPr>
        <w:pStyle w:val="Heading1"/>
      </w:pPr>
      <w:bookmarkStart w:id="5" w:name="_Toc5"/>
      <w:r>
        <w:t>Topics for further research:</w:t>
      </w:r>
      <w:bookmarkEnd w:id="5"/>
    </w:p>
    <w:p>
      <w:pPr>
        <w:spacing w:after="0"/>
        <w:numPr>
          <w:ilvl w:val="0"/>
          <w:numId w:val="2"/>
        </w:numPr>
      </w:pPr>
      <w:r>
        <w:rPr/>
        <w:t xml:space="preserve">“Colombia energy policy” </w:t>
      </w:r>
    </w:p>
    <w:p>
      <w:pPr>
        <w:spacing w:after="0"/>
        <w:numPr>
          <w:ilvl w:val="0"/>
          <w:numId w:val="2"/>
        </w:numPr>
      </w:pPr>
      <w:r>
        <w:rPr/>
        <w:t xml:space="preserve">“Indigenous people and energy policy in Colombia” </w:t>
      </w:r>
    </w:p>
    <w:p>
      <w:pPr>
        <w:spacing w:after="0"/>
        <w:numPr>
          <w:ilvl w:val="0"/>
          <w:numId w:val="2"/>
        </w:numPr>
      </w:pPr>
      <w:r>
        <w:rPr/>
        <w:t xml:space="preserve">“Economic instability and energy policy in Colombia” </w:t>
      </w:r>
    </w:p>
    <w:p>
      <w:pPr>
        <w:spacing w:after="0"/>
        <w:numPr>
          <w:ilvl w:val="0"/>
          <w:numId w:val="2"/>
        </w:numPr>
      </w:pPr>
      <w:r>
        <w:rPr/>
        <w:t xml:space="preserve">“Political unrest and energy policy in Colombia” </w:t>
      </w:r>
    </w:p>
    <w:p>
      <w:pPr>
        <w:spacing w:after="0"/>
        <w:numPr>
          <w:ilvl w:val="0"/>
          <w:numId w:val="2"/>
        </w:numPr>
      </w:pPr>
      <w:r>
        <w:rPr/>
        <w:t xml:space="preserve">“Green investment initiatives in Colombia” </w:t>
      </w:r>
    </w:p>
    <w:p>
      <w:pPr>
        <w:numPr>
          <w:ilvl w:val="0"/>
          <w:numId w:val="2"/>
        </w:numPr>
      </w:pPr>
      <w:r>
        <w:rPr/>
        <w:t xml:space="preserve">“Fossil fuel phase-down in Colombia”</w:t>
      </w:r>
    </w:p>
    <w:p>
      <w:pPr>
        <w:pStyle w:val="Heading1"/>
      </w:pPr>
      <w:bookmarkStart w:id="6" w:name="_Toc6"/>
      <w:r>
        <w:t>Report location:</w:t>
      </w:r>
      <w:bookmarkEnd w:id="6"/>
    </w:p>
    <w:p>
      <w:hyperlink r:id="rId8" w:history="1">
        <w:r>
          <w:rPr>
            <w:color w:val="2980b9"/>
            <w:u w:val="single"/>
          </w:rPr>
          <w:t xml:space="preserve">https://www.fullpicture.app/item/6bdc31ad2351c2e790e85fb36a8cf043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B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22003603" TargetMode="External"/><Relationship Id="rId8" Type="http://schemas.openxmlformats.org/officeDocument/2006/relationships/hyperlink" Target="https://www.fullpicture.app/item/6bdc31ad2351c2e790e85fb36a8cf0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2023-03-07T07:44:28+01:00</dcterms:created>
  <dcterms:modified xsi:type="dcterms:W3CDTF">2023-03-07T07:44:28+01:00</dcterms:modified>
</cp:coreProperties>
</file>

<file path=docProps/custom.xml><?xml version="1.0" encoding="utf-8"?>
<Properties xmlns="http://schemas.openxmlformats.org/officeDocument/2006/custom-properties" xmlns:vt="http://schemas.openxmlformats.org/officeDocument/2006/docPropsVTypes"/>
</file>