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lag index: Assessment of functional connectivity from multi channel EEG and MEG with diminished bias from common sources - PMC</w:t>
      </w:r>
      <w:br/>
      <w:hyperlink r:id="rId7" w:history="1">
        <w:r>
          <w:rPr>
            <w:color w:val="2980b9"/>
            <w:u w:val="single"/>
          </w:rPr>
          <w:t xml:space="preserve">https://www.ncbi.nlm.nih.gov/pmc/articles/PMC6871367/</w:t>
        </w:r>
      </w:hyperlink>
    </w:p>
    <w:p>
      <w:pPr>
        <w:pStyle w:val="Heading1"/>
      </w:pPr>
      <w:bookmarkStart w:id="2" w:name="_Toc2"/>
      <w:r>
        <w:t>Article summary:</w:t>
      </w:r>
      <w:bookmarkEnd w:id="2"/>
    </w:p>
    <w:p>
      <w:pPr>
        <w:jc w:val="both"/>
      </w:pPr>
      <w:r>
        <w:rPr/>
        <w:t xml:space="preserve">1. The article proposes a novel measure, the phase lag index (PLI), to quantify phase synchronization and compare its performance to the well-known phase coherence (PC) and the imaginary component of coherency (IC).</w:t>
      </w:r>
    </w:p>
    <w:p>
      <w:pPr>
        <w:jc w:val="both"/>
      </w:pPr>
      <w:r>
        <w:rPr/>
        <w:t xml:space="preserve">2. PLI was found to be more sensitive than IC to increasing levels of true synchronization in model data, less affected by spurious correlations due to common sources, and superior to PC in detecting changes in beta band connectivity in Alzheimer's Disease patients.</w:t>
      </w:r>
    </w:p>
    <w:p>
      <w:pPr>
        <w:jc w:val="both"/>
      </w:pPr>
      <w:r>
        <w:rPr/>
        <w:t xml:space="preserve">3. PLI and IC revealed a different spatial pattern of functional connectivity in MEG data than PC.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such as model data, EEG with an absence seizure, EEG data set of 15 Alzheimer patients and 13 control subjects, and two MEG data sets. The authors also provide detailed explanations for their findings which makes it easier for readers to understand the results. However, there are some potential biases that should be noted. For example, the authors do not explore any counterarguments or present both sides equally when discussing their findings. Additionally, they do not mention any possible risks associated with using PLI or other measures discussed in the article. Furthermore, there is no discussion about how PLI could be used in clinical settings or what implications it may have for future research. All these points should be considered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PLI clinical applications</w:t>
      </w:r>
    </w:p>
    <w:p>
      <w:pPr>
        <w:spacing w:after="0"/>
        <w:numPr>
          <w:ilvl w:val="0"/>
          <w:numId w:val="2"/>
        </w:numPr>
      </w:pPr>
      <w:r>
        <w:rPr/>
        <w:t xml:space="preserve">Risks associated with PLI</w:t>
      </w:r>
    </w:p>
    <w:p>
      <w:pPr>
        <w:spacing w:after="0"/>
        <w:numPr>
          <w:ilvl w:val="0"/>
          <w:numId w:val="2"/>
        </w:numPr>
      </w:pPr>
      <w:r>
        <w:rPr/>
        <w:t xml:space="preserve">Counterarguments to PLI</w:t>
      </w:r>
    </w:p>
    <w:p>
      <w:pPr>
        <w:spacing w:after="0"/>
        <w:numPr>
          <w:ilvl w:val="0"/>
          <w:numId w:val="2"/>
        </w:numPr>
      </w:pPr>
      <w:r>
        <w:rPr/>
        <w:t xml:space="preserve">Future research implications of PLI</w:t>
      </w:r>
    </w:p>
    <w:p>
      <w:pPr>
        <w:spacing w:after="0"/>
        <w:numPr>
          <w:ilvl w:val="0"/>
          <w:numId w:val="2"/>
        </w:numPr>
      </w:pPr>
      <w:r>
        <w:rPr/>
        <w:t xml:space="preserve">EEG data set of Alzheimer patients</w:t>
      </w:r>
    </w:p>
    <w:p>
      <w:pPr>
        <w:numPr>
          <w:ilvl w:val="0"/>
          <w:numId w:val="2"/>
        </w:numPr>
      </w:pPr>
      <w:r>
        <w:rPr/>
        <w:t xml:space="preserve">MEG data sets and PLI</w:t>
      </w:r>
    </w:p>
    <w:p>
      <w:pPr>
        <w:pStyle w:val="Heading1"/>
      </w:pPr>
      <w:bookmarkStart w:id="6" w:name="_Toc6"/>
      <w:r>
        <w:t>Report location:</w:t>
      </w:r>
      <w:bookmarkEnd w:id="6"/>
    </w:p>
    <w:p>
      <w:hyperlink r:id="rId8" w:history="1">
        <w:r>
          <w:rPr>
            <w:color w:val="2980b9"/>
            <w:u w:val="single"/>
          </w:rPr>
          <w:t xml:space="preserve">https://www.fullpicture.app/item/6bf810185d802b159d7e12af11880e46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31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871367/" TargetMode="External"/><Relationship Id="rId8" Type="http://schemas.openxmlformats.org/officeDocument/2006/relationships/hyperlink" Target="https://www.fullpicture.app/item/6bf810185d802b159d7e12af11880e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2023-02-24T01:16:53+01:00</dcterms:created>
  <dcterms:modified xsi:type="dcterms:W3CDTF">2023-02-24T01:16:53+01:00</dcterms:modified>
</cp:coreProperties>
</file>

<file path=docProps/custom.xml><?xml version="1.0" encoding="utf-8"?>
<Properties xmlns="http://schemas.openxmlformats.org/officeDocument/2006/custom-properties" xmlns:vt="http://schemas.openxmlformats.org/officeDocument/2006/docPropsVTypes"/>
</file>