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CASES FOR MEMO 1</w:t>
      </w:r>
      <w:br/>
      <w:hyperlink r:id="rId7" w:history="1">
        <w:r>
          <w:rPr>
            <w:color w:val="2980b9"/>
            <w:u w:val="single"/>
          </w:rPr>
          <w:t xml:space="preserve">https://app.speechify.com/item/f8339e38-f394-473f-b718-a67dbd02160c</w:t>
        </w:r>
      </w:hyperlink>
    </w:p>
    <w:p>
      <w:pPr>
        <w:pStyle w:val="Heading1"/>
      </w:pPr>
      <w:bookmarkStart w:id="2" w:name="_Toc2"/>
      <w:r>
        <w:t>Article summary:</w:t>
      </w:r>
      <w:bookmarkEnd w:id="2"/>
    </w:p>
    <w:p>
      <w:pPr>
        <w:jc w:val="both"/>
      </w:pPr>
      <w:r>
        <w:rPr/>
        <w:t xml:space="preserve">1. The article discusses several cases related to Fair Housing Act claims, including Daniels v. Brooklyn Estates &amp; Properties Realty, Kennedy v. Related Mgmt., Robinson v. 12 Lofts Realty, Inc., Mancuso v. Douglas Elliman, LLC, Frazier v. Rominger, Soules v. United States Dep't of Hous. &amp; Urban Dev., Thurmond v. Bowman, Olsen v. Stark Homes, Inc., De La Fuente v. Sherry Netherland, Inc., CNY Fair Housing, Inc. v. Swiss Village LLC, Wentworth v. Hedson, Tufano v. One Toms Point Lane Corp., Mitchell v. Shane and Kennedy v Related Management</w:t>
      </w:r>
    </w:p>
    <w:p>
      <w:pPr>
        <w:jc w:val="both"/>
      </w:pPr>
      <w:r>
        <w:rPr/>
        <w:t xml:space="preserve"/>
      </w:r>
    </w:p>
    <w:p>
      <w:pPr>
        <w:jc w:val="both"/>
      </w:pPr>
      <w:r>
        <w:rPr/>
        <w:t xml:space="preserve">2. The article outlines the legal requirements for a prima facie case under the Fair Housing Act and provides examples of cases where summary judgment was granted in favor of defendants due to lack of evidence that vendors had any knowledge of African-American prospective house purchasers' racial background or failure to supply accurate information concerning their income</w:t>
      </w:r>
    </w:p>
    <w:p>
      <w:pPr>
        <w:jc w:val="both"/>
      </w:pPr>
      <w:r>
        <w:rPr/>
        <w:t xml:space="preserve"/>
      </w:r>
    </w:p>
    <w:p>
      <w:pPr>
        <w:jc w:val="both"/>
      </w:pPr>
      <w:r>
        <w:rPr/>
        <w:t xml:space="preserve">3. The article also discusses the standard of review for motion for summary judgment in an FHA claim and provides examples of cases where summary judgment was granted in favor of defendants due to lack of evidence that vendors had any knowledge of African-American prospective house purchasers' racial background or failure to supply accurate information concerning their income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legal analysis on several cases related to Fair Housing Act claims and outlines the legal requirements for a prima facie case under the Fair Housing Act with relevant examples from court decisions and rulings from various courts across the US such as 2nd Circuit Court of Appeals and Southern District Court of New York among others which adds credibility to its content as well as providing insights into how courts have interpreted FHA claims in different contexts over time which can be useful for practitioners looking for guidance on similar matters in future cases </w:t>
      </w:r>
    </w:p>
    <w:p>
      <w:pPr>
        <w:jc w:val="both"/>
      </w:pPr>
      <w:r>
        <w:rPr/>
        <w:t xml:space="preserve">However there are some potential biases present in the article such as one-sided reporting which only presents one side's argument without exploring counterarguments or presenting both sides equally which could lead readers to form an incomplete understanding about the issue at hand </w:t>
      </w:r>
    </w:p>
    <w:p>
      <w:pPr>
        <w:jc w:val="both"/>
      </w:pPr>
      <w:r>
        <w:rPr/>
        <w:t xml:space="preserve">In addition there are some unsupported claims made throughout the article such as when it states that “A plaintiff who claims that he as an individual has been the victim of a racially discriminatory denial of housing may establish a prima facie case under</w:t>
      </w:r>
    </w:p>
    <w:p>
      <w:pPr>
        <w:pStyle w:val="Heading1"/>
      </w:pPr>
      <w:bookmarkStart w:id="5" w:name="_Toc5"/>
      <w:r>
        <w:t>Topics for further research:</w:t>
      </w:r>
      <w:bookmarkEnd w:id="5"/>
    </w:p>
    <w:p>
      <w:pPr>
        <w:spacing w:after="0"/>
        <w:numPr>
          <w:ilvl w:val="0"/>
          <w:numId w:val="2"/>
        </w:numPr>
      </w:pPr>
      <w:r>
        <w:rPr/>
        <w:t xml:space="preserve">Fair Housing Act counterarguments </w:t>
      </w:r>
    </w:p>
    <w:p>
      <w:pPr>
        <w:spacing w:after="0"/>
        <w:numPr>
          <w:ilvl w:val="0"/>
          <w:numId w:val="2"/>
        </w:numPr>
      </w:pPr>
      <w:r>
        <w:rPr/>
        <w:t xml:space="preserve">Fair Housing Act legal requirements </w:t>
      </w:r>
    </w:p>
    <w:p>
      <w:pPr>
        <w:spacing w:after="0"/>
        <w:numPr>
          <w:ilvl w:val="0"/>
          <w:numId w:val="2"/>
        </w:numPr>
      </w:pPr>
      <w:r>
        <w:rPr/>
        <w:t xml:space="preserve">Fair Housing Act court decisions </w:t>
      </w:r>
    </w:p>
    <w:p>
      <w:pPr>
        <w:spacing w:after="0"/>
        <w:numPr>
          <w:ilvl w:val="0"/>
          <w:numId w:val="2"/>
        </w:numPr>
      </w:pPr>
      <w:r>
        <w:rPr/>
        <w:t xml:space="preserve">Fair Housing Act individual claims </w:t>
      </w:r>
    </w:p>
    <w:p>
      <w:pPr>
        <w:spacing w:after="0"/>
        <w:numPr>
          <w:ilvl w:val="0"/>
          <w:numId w:val="2"/>
        </w:numPr>
      </w:pPr>
      <w:r>
        <w:rPr/>
        <w:t xml:space="preserve">Fair Housing Act racial discrimination </w:t>
      </w:r>
    </w:p>
    <w:p>
      <w:pPr>
        <w:numPr>
          <w:ilvl w:val="0"/>
          <w:numId w:val="2"/>
        </w:numPr>
      </w:pPr>
      <w:r>
        <w:rPr/>
        <w:t xml:space="preserve">Fair Housing Act prima facie case</w:t>
      </w:r>
    </w:p>
    <w:p>
      <w:pPr>
        <w:pStyle w:val="Heading1"/>
      </w:pPr>
      <w:bookmarkStart w:id="6" w:name="_Toc6"/>
      <w:r>
        <w:t>Report location:</w:t>
      </w:r>
      <w:bookmarkEnd w:id="6"/>
    </w:p>
    <w:p>
      <w:hyperlink r:id="rId8" w:history="1">
        <w:r>
          <w:rPr>
            <w:color w:val="2980b9"/>
            <w:u w:val="single"/>
          </w:rPr>
          <w:t xml:space="preserve">https://www.fullpicture.app/item/6db87dae7a1746b5b54778c8187b2404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2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f8339e38-f394-473f-b718-a67dbd02160c" TargetMode="External"/><Relationship Id="rId8" Type="http://schemas.openxmlformats.org/officeDocument/2006/relationships/hyperlink" Target="https://www.fullpicture.app/item/6db87dae7a1746b5b54778c8187b2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2023-02-25T15:07:56+01:00</dcterms:created>
  <dcterms:modified xsi:type="dcterms:W3CDTF">2023-02-25T15:07:56+01:00</dcterms:modified>
</cp:coreProperties>
</file>

<file path=docProps/custom.xml><?xml version="1.0" encoding="utf-8"?>
<Properties xmlns="http://schemas.openxmlformats.org/officeDocument/2006/custom-properties" xmlns:vt="http://schemas.openxmlformats.org/officeDocument/2006/docPropsVTypes"/>
</file>