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Psychometric properties and CAT performance of the PROMIS pediatric sleep disturbance, sleep-related impairment, and fatigue item banks in Dutch children and adolescents.</w:t></w:r><w:br/><w:hyperlink r:id="rId7" w:history="1"><w:r><w:rPr><w:color w:val="2980b9"/><w:u w:val="single"/></w:rPr><w:t xml:space="preserve">https://psycnet.apa.org/search/display?id=750a6de8-f5e6-e977-9398-987f7de5f2dc&recordId=1&tab=PA&page=1&display=25&sort=PublicationYearMSSort%20desc,AuthorSort%20asc&sr=1</w:t></w:r></w:hyperlink></w:p><w:p><w:pPr><w:pStyle w:val="Heading1"/></w:pPr><w:bookmarkStart w:id="2" w:name="_Toc2"/><w:r><w:t>Article summary:</w:t></w:r><w:bookmarkEnd w:id="2"/></w:p><w:p><w:pPr><w:jc w:val="both"/></w:pPr><w:r><w:rPr/><w:t xml:space="preserve">1. This study evaluated the psychometric properties of the pediatric Patient-Reported Outcomes Measurement Information System (PROMIS) sleep disturbance (SD), sleep-related impairment (SRI), and fatigue item banks in Dutch children and adolescents.</w:t></w:r></w:p><w:p><w:pPr><w:jc w:val="both"/></w:pPr><w:r><w:rPr/><w:t xml:space="preserve">2. The structural validity, item fit, reliability, and efficiency of both item banks were assessed.</w:t></w:r></w:p><w:p><w:pPr><w:jc w:val="both"/></w:pPr><w:r><w:rPr/><w:t xml:space="preserve">3. The PROMIS pediatric SRI and fatigue item banks, short forms, and CAT showed sufficient structural validity and reliability in the Dutch population.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a detailed description of the research methods used to evaluate the psychometric properties of the PROMIS pediatric SD, SRI, and fatigue item banks in Dutch children and adolescents. The authors provide evidence for their claims by citing relevant literature throughout the article. Furthermore, they provide reference values for the Dutch population which can be used to compare results from other studies. </w:t></w:r></w:p><w:p><w:pPr><w:jc w:val="both"/></w:pPr><w:r><w:rPr/><w:t xml:space="preserve">However, there are some potential biases that should be noted. For example, the sample size was relatively small (n = 1,325) which may limit generalizability of results to larger populations. Additionally, only 39.7% of those invited participated in the study which could lead to selection bias if those who chose not to participate had different characteristics than those who did participate. Finally, there is no discussion of possible risks associated with using these item banks or any potential ethical considerations that should be taken into account when using them with children or adolescents.</w:t></w:r></w:p><w:p><w:pPr><w:pStyle w:val="Heading1"/></w:pPr><w:bookmarkStart w:id="5" w:name="_Toc5"/><w:r><w:t>Topics for further research:</w:t></w:r><w:bookmarkEnd w:id="5"/></w:p><w:p><w:pPr><w:spacing w:after="0"/><w:numPr><w:ilvl w:val="0"/><w:numId w:val="2"/></w:numPr></w:pPr><w:r><w:rPr/><w:t xml:space="preserve">Psychometric properties of PROMIS pediatric item banks</w:t></w:r></w:p><w:p><w:pPr><w:spacing w:after="0"/><w:numPr><w:ilvl w:val="0"/><w:numId w:val="2"/></w:numPr></w:pPr><w:r><w:rPr/><w:t xml:space="preserve">Selection bias in pediatric research</w:t></w:r></w:p><w:p><w:pPr><w:spacing w:after="0"/><w:numPr><w:ilvl w:val="0"/><w:numId w:val="2"/></w:numPr></w:pPr><w:r><w:rPr/><w:t xml:space="preserve">Generalizability of research results</w:t></w:r></w:p><w:p><w:pPr><w:spacing w:after="0"/><w:numPr><w:ilvl w:val="0"/><w:numId w:val="2"/></w:numPr></w:pPr><w:r><w:rPr/><w:t xml:space="preserve">Ethical considerations in pediatric research</w:t></w:r></w:p><w:p><w:pPr><w:spacing w:after="0"/><w:numPr><w:ilvl w:val="0"/><w:numId w:val="2"/></w:numPr></w:pPr><w:r><w:rPr/><w:t xml:space="preserve">Risks associated with using PROMIS item banks</w:t></w:r></w:p><w:p><w:pPr><w:numPr><w:ilvl w:val="0"/><w:numId w:val="2"/></w:numPr></w:pPr><w:r><w:rPr/><w:t xml:space="preserve">Dutch population reference values for PROMIS item banks</w:t></w:r></w:p><w:p><w:pPr><w:pStyle w:val="Heading1"/></w:pPr><w:bookmarkStart w:id="6" w:name="_Toc6"/><w:r><w:t>Report location:</w:t></w:r><w:bookmarkEnd w:id="6"/></w:p><w:p><w:hyperlink r:id="rId8" w:history="1"><w:r><w:rPr><w:color w:val="2980b9"/><w:u w:val="single"/></w:rPr><w:t xml:space="preserve">https://www.fullpicture.app/item/6f3703e1d7b9414601465a4534e0bfb0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B2A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net.apa.org/search/display?id=750a6de8-f5e6-e977-9398-987f7de5f2dc&amp;recordId=1&amp;tab=PA&amp;page=1&amp;display=25&amp;sort=PublicationYearMSSort%20desc,AuthorSort%20asc&amp;sr=1" TargetMode="External"/><Relationship Id="rId8" Type="http://schemas.openxmlformats.org/officeDocument/2006/relationships/hyperlink" Target="https://www.fullpicture.app/item/6f3703e1d7b9414601465a4534e0b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2023-02-25T08:37:52+01:00</dcterms:created>
  <dcterms:modified xsi:type="dcterms:W3CDTF">2023-02-25T08:37:52+01:00</dcterms:modified>
</cp:coreProperties>
</file>

<file path=docProps/custom.xml><?xml version="1.0" encoding="utf-8"?>
<Properties xmlns="http://schemas.openxmlformats.org/officeDocument/2006/custom-properties" xmlns:vt="http://schemas.openxmlformats.org/officeDocument/2006/docPropsVTypes"/>
</file>