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Constitutively active Gq/11-coupled Receptors Enable Signaling by Co-expressed Gi/o-coupled Receptors - ScienceDirect</w:t>
      </w:r>
      <w:br/>
      <w:hyperlink r:id="rId7" w:history="1">
        <w:r>
          <w:rPr>
            <w:color w:val="2980b9"/>
            <w:u w:val="single"/>
          </w:rPr>
          <w:t xml:space="preserve">https://www.sciencedirect.com/science/article/pii/S0021925820748398</w:t>
        </w:r>
      </w:hyperlink>
    </w:p>
    <w:p>
      <w:pPr>
        <w:pStyle w:val="Heading1"/>
      </w:pPr>
      <w:bookmarkStart w:id="2" w:name="_Toc2"/>
      <w:r>
        <w:t>Article summary:</w:t>
      </w:r>
      <w:bookmarkEnd w:id="2"/>
    </w:p>
    <w:p>
      <w:pPr>
        <w:jc w:val="both"/>
      </w:pPr>
      <w:r>
        <w:rPr/>
        <w:t xml:space="preserve">1. Co-expression of Gq/11-coupled receptors, such as the human histamine 1 receptor (H1R), with Gi/o-coupled receptors, such as the human 5-hydroxytryptamine receptor 1B (5-HT1BR), results in an overall increase in agonist-independent signaling.</w:t>
      </w:r>
    </w:p>
    <w:p>
      <w:pPr>
        <w:jc w:val="both"/>
      </w:pPr>
      <w:r>
        <w:rPr/>
        <w:t xml:space="preserve">2. Inverse H1R agonists inhibit both constitutively H1R-mediated and 5-HT1BR agonist-induced signaling in cells co-expressing both receptors.</w:t>
      </w:r>
    </w:p>
    <w:p>
      <w:pPr>
        <w:jc w:val="both"/>
      </w:pPr>
      <w:r>
        <w:rPr/>
        <w:t xml:space="preserve">3. Constitutively active Gq/11-coupled receptors, such as the H1R and HCMV-encoded chemokine receptor US28, constitute a regulatory switch for signal transduction by Gi/o-coupled receptors.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to support its claims through references to previous studies and experiments conducted by the authors. The article is well written and provides a comprehensive overview of the topic at hand. It is clear that the authors have done their research and are knowledgeable about the subject matter. </w:t>
      </w:r>
    </w:p>
    <w:p>
      <w:pPr>
        <w:jc w:val="both"/>
      </w:pPr>
      <w:r>
        <w:rPr/>
        <w:t xml:space="preserve">However, there are some potential biases present in the article that should be noted. For example, while the authors provide evidence for their claims from previous studies, they do not explore any counterarguments or alternative explanations for their findings. Additionally, while they discuss potential implications of their findings for physiology and pathophysiology, they do not provide any evidence to support these implications or discuss any possible risks associated with them. Furthermore, while they mention various polymorphic GPCR variants that exhibit high levels of constitutive activity, they do not provide any evidence to support this claim or explore any other potential sources of bias or partiality in their study. </w:t>
      </w:r>
    </w:p>
    <w:p>
      <w:pPr>
        <w:jc w:val="both"/>
      </w:pPr>
      <w:r>
        <w:rPr/>
        <w:t xml:space="preserve">In conclusion, while this article is generally reliable and trustworthy due to its comprehensive coverage of the topic at hand and its use of evidence from previous studies to support its claims, there are some potential biases present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GPCR polymorphism</w:t>
      </w:r>
    </w:p>
    <w:p>
      <w:pPr>
        <w:spacing w:after="0"/>
        <w:numPr>
          <w:ilvl w:val="0"/>
          <w:numId w:val="2"/>
        </w:numPr>
      </w:pPr>
      <w:r>
        <w:rPr/>
        <w:t xml:space="preserve">GPCR constitutive activity</w:t>
      </w:r>
    </w:p>
    <w:p>
      <w:pPr>
        <w:spacing w:after="0"/>
        <w:numPr>
          <w:ilvl w:val="0"/>
          <w:numId w:val="2"/>
        </w:numPr>
      </w:pPr>
      <w:r>
        <w:rPr/>
        <w:t xml:space="preserve">GPCR pathophysiology</w:t>
      </w:r>
    </w:p>
    <w:p>
      <w:pPr>
        <w:spacing w:after="0"/>
        <w:numPr>
          <w:ilvl w:val="0"/>
          <w:numId w:val="2"/>
        </w:numPr>
      </w:pPr>
      <w:r>
        <w:rPr/>
        <w:t xml:space="preserve">GPCR pharmacology</w:t>
      </w:r>
    </w:p>
    <w:p>
      <w:pPr>
        <w:spacing w:after="0"/>
        <w:numPr>
          <w:ilvl w:val="0"/>
          <w:numId w:val="2"/>
        </w:numPr>
      </w:pPr>
      <w:r>
        <w:rPr/>
        <w:t xml:space="preserve">GPCR risk factors</w:t>
      </w:r>
    </w:p>
    <w:p>
      <w:pPr>
        <w:numPr>
          <w:ilvl w:val="0"/>
          <w:numId w:val="2"/>
        </w:numPr>
      </w:pPr>
      <w:r>
        <w:rPr/>
        <w:t xml:space="preserve">GPCR therapeutic implications</w:t>
      </w:r>
    </w:p>
    <w:p>
      <w:pPr>
        <w:pStyle w:val="Heading1"/>
      </w:pPr>
      <w:bookmarkStart w:id="6" w:name="_Toc6"/>
      <w:r>
        <w:t>Report location:</w:t>
      </w:r>
      <w:bookmarkEnd w:id="6"/>
    </w:p>
    <w:p>
      <w:hyperlink r:id="rId8" w:history="1">
        <w:r>
          <w:rPr>
            <w:color w:val="2980b9"/>
            <w:u w:val="single"/>
          </w:rPr>
          <w:t xml:space="preserve">https://www.fullpicture.app/item/71c7e2f4d43b8a8021c85fbc05aefe2e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8F4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1925820748398" TargetMode="External"/><Relationship Id="rId8" Type="http://schemas.openxmlformats.org/officeDocument/2006/relationships/hyperlink" Target="https://www.fullpicture.app/item/71c7e2f4d43b8a8021c85fbc05aefe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2023-02-23T10:06:19+01:00</dcterms:created>
  <dcterms:modified xsi:type="dcterms:W3CDTF">2023-02-23T10:06:19+01:00</dcterms:modified>
</cp:coreProperties>
</file>

<file path=docProps/custom.xml><?xml version="1.0" encoding="utf-8"?>
<Properties xmlns="http://schemas.openxmlformats.org/officeDocument/2006/custom-properties" xmlns:vt="http://schemas.openxmlformats.org/officeDocument/2006/docPropsVTypes"/>
</file>