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Meeting the challenge of environmental data publication: an operational infrastructure and workflow for publishing data | SpringerLink</w:t>
      </w:r>
      <w:br/>
      <w:hyperlink r:id="rId7" w:history="1">
        <w:r>
          <w:rPr>
            <w:color w:val="2980b9"/>
            <w:u w:val="single"/>
          </w:rPr>
          <w:t xml:space="preserve">https://link.springer.com/article/10.1007/s00799-016-0176-4</w:t>
        </w:r>
      </w:hyperlink>
    </w:p>
    <w:p>
      <w:pPr>
        <w:pStyle w:val="Heading1"/>
      </w:pPr>
      <w:bookmarkStart w:id="2" w:name="_Toc2"/>
      <w:r>
        <w:t>Article summary:</w:t>
      </w:r>
      <w:bookmarkEnd w:id="2"/>
    </w:p>
    <w:p>
      <w:pPr>
        <w:jc w:val="both"/>
      </w:pPr>
      <w:r>
        <w:rPr/>
        <w:t xml:space="preserve">1. The article discusses the issues that must be addressed when publishing environmental data, such as which data to publish, where to publish it, and how to ensure it is discoverable and reusable.</w:t>
      </w:r>
    </w:p>
    <w:p>
      <w:pPr>
        <w:jc w:val="both"/>
      </w:pPr>
      <w:r>
        <w:rPr/>
        <w:t xml:space="preserve">2. The article outlines the infrastructure and workflow used by the Environmental Information Data Centre (EIDC) for publishing environmental data resources, including an issue tracking system, content management system (CMS), data store, and order manager.</w:t>
      </w:r>
    </w:p>
    <w:p>
      <w:pPr>
        <w:jc w:val="both"/>
      </w:pPr>
      <w:r>
        <w:rPr/>
        <w:t xml:space="preserve">3. The article also covers topics such as selection of raw or derived values for publication, licensing conditions for access to resources, allocation of Digital Object Identifiers (DOIs), providing supporting documents for users, citation of dynamic datasets, checksums to verify condition of resources, and compliance with legal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issues related to environmental data publication and the operational infrastructure and workflow used by the Environmental Information Data Centre (EIDC) for publishing environmental data resources. The article is well-structured and clearly written in a way that is easy to understand. It provides detailed information on topics such as selection of raw or derived values for publication, licensing conditions for access to resources, allocation of Digital Object Identifiers (DOIs), providing supporting documents for users, citation of dynamic datasets, checksums to verify condition of resources, and compliance with legal requirements.</w:t>
      </w:r>
    </w:p>
    <w:p>
      <w:pPr>
        <w:jc w:val="both"/>
      </w:pPr>
      <w:r>
        <w:rPr/>
        <w:t xml:space="preserve">The article appears to be unbiased in its presentation of information; however there are some potential sources of bias that should be noted. For example, the authors note that “NERC has produced some guidelines” for identifying suitable data but do not provide any further details about these guidelines or their source. Additionally, while the authors discuss various legal requirements related to environmental data publication they do not provide any specific examples or references which could help readers better understand these requirements. </w:t>
      </w:r>
    </w:p>
    <w:p>
      <w:pPr>
        <w:jc w:val="both"/>
      </w:pPr>
      <w:r>
        <w:rPr/>
        <w:t xml:space="preserve">The article does not explore any counterarguments or alternative approaches to environmental data publication; instead it focuses solely on describing the EIDC’s approach without considering other possible solutions or methods. Furthermore, while the authors mention “incidents such as the Climatic Research Unit email controversy” they do not provide any further details about this incident which could help readers better understand its relevance in this context. </w:t>
      </w:r>
    </w:p>
    <w:p>
      <w:pPr>
        <w:jc w:val="both"/>
      </w:pPr>
      <w:r>
        <w:rPr/>
        <w:t xml:space="preserve">In conclusion, this article provides a comprehensive overview of issues related to environmental data publication and describes an operational infrastructure and workflow used by EIDC for publishing environmental data resources; however there are some potential sources of bias which should be noted when</w:t>
      </w:r>
    </w:p>
    <w:p>
      <w:pPr>
        <w:pStyle w:val="Heading1"/>
      </w:pPr>
      <w:bookmarkStart w:id="5" w:name="_Toc5"/>
      <w:r>
        <w:t>Topics for further research:</w:t>
      </w:r>
      <w:bookmarkEnd w:id="5"/>
    </w:p>
    <w:p>
      <w:pPr>
        <w:spacing w:after="0"/>
        <w:numPr>
          <w:ilvl w:val="0"/>
          <w:numId w:val="2"/>
        </w:numPr>
      </w:pPr>
      <w:r>
        <w:rPr/>
        <w:t xml:space="preserve">Guidelines for identifying suitable environmental data</w:t>
      </w:r>
    </w:p>
    <w:p>
      <w:pPr>
        <w:spacing w:after="0"/>
        <w:numPr>
          <w:ilvl w:val="0"/>
          <w:numId w:val="2"/>
        </w:numPr>
      </w:pPr>
      <w:r>
        <w:rPr/>
        <w:t xml:space="preserve">Examples of legal requirements for environmental data publication</w:t>
      </w:r>
    </w:p>
    <w:p>
      <w:pPr>
        <w:spacing w:after="0"/>
        <w:numPr>
          <w:ilvl w:val="0"/>
          <w:numId w:val="2"/>
        </w:numPr>
      </w:pPr>
      <w:r>
        <w:rPr/>
        <w:t xml:space="preserve">Alternative approaches to environmental data publication</w:t>
      </w:r>
    </w:p>
    <w:p>
      <w:pPr>
        <w:spacing w:after="0"/>
        <w:numPr>
          <w:ilvl w:val="0"/>
          <w:numId w:val="2"/>
        </w:numPr>
      </w:pPr>
      <w:r>
        <w:rPr/>
        <w:t xml:space="preserve">Details of Climatic Research Unit email controversy</w:t>
      </w:r>
    </w:p>
    <w:p>
      <w:pPr>
        <w:spacing w:after="0"/>
        <w:numPr>
          <w:ilvl w:val="0"/>
          <w:numId w:val="2"/>
        </w:numPr>
      </w:pPr>
      <w:r>
        <w:rPr/>
        <w:t xml:space="preserve">Counterarguments to EIDC approach to environmental data publication</w:t>
      </w:r>
    </w:p>
    <w:p>
      <w:pPr>
        <w:numPr>
          <w:ilvl w:val="0"/>
          <w:numId w:val="2"/>
        </w:numPr>
      </w:pPr>
      <w:r>
        <w:rPr/>
        <w:t xml:space="preserve">Digital Object Identifier (DOI) allocation process</w:t>
      </w:r>
    </w:p>
    <w:p>
      <w:pPr>
        <w:pStyle w:val="Heading1"/>
      </w:pPr>
      <w:bookmarkStart w:id="6" w:name="_Toc6"/>
      <w:r>
        <w:t>Report location:</w:t>
      </w:r>
      <w:bookmarkEnd w:id="6"/>
    </w:p>
    <w:p>
      <w:hyperlink r:id="rId8" w:history="1">
        <w:r>
          <w:rPr>
            <w:color w:val="2980b9"/>
            <w:u w:val="single"/>
          </w:rPr>
          <w:t xml:space="preserve">https://www.fullpicture.app/item/734b3ac2ad907525f070f49ea27bc281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A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99-016-0176-4" TargetMode="External"/><Relationship Id="rId8" Type="http://schemas.openxmlformats.org/officeDocument/2006/relationships/hyperlink" Target="https://www.fullpicture.app/item/734b3ac2ad907525f070f49ea27bc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2023-02-22T02:44:21+01:00</dcterms:created>
  <dcterms:modified xsi:type="dcterms:W3CDTF">2023-02-22T02:44:21+01:00</dcterms:modified>
</cp:coreProperties>
</file>

<file path=docProps/custom.xml><?xml version="1.0" encoding="utf-8"?>
<Properties xmlns="http://schemas.openxmlformats.org/officeDocument/2006/custom-properties" xmlns:vt="http://schemas.openxmlformats.org/officeDocument/2006/docPropsVTypes"/>
</file>