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Who pays for environmental protection? The impact of green tax reform on labor share in China - ScienceDirect</w:t>
      </w:r>
      <w:br/>
      <w:hyperlink r:id="rId7" w:history="1">
        <w:r>
          <w:rPr>
            <w:color w:val="2980b9"/>
            <w:u w:val="single"/>
          </w:rPr>
          <w:t xml:space="preserve">https://www.sciencedirect.com/science/article/pii/S0140988323003602</w:t>
        </w:r>
      </w:hyperlink>
    </w:p>
    <w:p>
      <w:pPr>
        <w:pStyle w:val="Heading1"/>
      </w:pPr>
      <w:bookmarkStart w:id="2" w:name="_Toc2"/>
      <w:r>
        <w:t>Article summary:</w:t>
      </w:r>
      <w:bookmarkEnd w:id="2"/>
    </w:p>
    <w:p>
      <w:pPr>
        <w:jc w:val="both"/>
      </w:pPr>
      <w:r>
        <w:rPr/>
        <w:t xml:space="preserve">1. The income distribution problem in China is severe, with labor share being lower than that of developed countries. China also faces high levels of environmental pollution and has implemented strict environmental regulation policies.</w:t>
      </w:r>
    </w:p>
    <w:p>
      <w:pPr>
        <w:jc w:val="both"/>
      </w:pPr>
      <w:r>
        <w:rPr/>
        <w:t xml:space="preserve">2. There are two main opinions on the impact of environmental regulation on employment: the "compliance cost theory" suggests that strict regulations lead to reduced labor demand, while the Porter hypothesis argues that regulations can incentivize innovation and increase demand for high-skilled labor.</w:t>
      </w:r>
    </w:p>
    <w:p>
      <w:pPr>
        <w:jc w:val="both"/>
      </w:pPr>
      <w:r>
        <w:rPr/>
        <w:t xml:space="preserve">3. The Environmental Protection Tax Law (EPTL) in China is a quasi-natural experiment to investigate the impact of environmental regulation policies on labor share. The implementation of EPTL has led to resource redistribution and raises questions about who will bear the "green costs" under a stricter environmental tax system. Additionally, biased technological progress caused by environmental regulation may result in skill premiums and change the pattern of factor income distribution.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这篇文章探讨了中国绿色税收改革对劳动份额的影响，但在分析过程中存在一些潜在的偏见和不足之处。</w:t>
      </w:r>
    </w:p>
    <w:p>
      <w:pPr>
        <w:jc w:val="both"/>
      </w:pPr>
      <w:r>
        <w:rPr/>
        <w:t xml:space="preserve"/>
      </w:r>
    </w:p>
    <w:p>
      <w:pPr>
        <w:jc w:val="both"/>
      </w:pPr>
      <w:r>
        <w:rPr/>
        <w:t xml:space="preserve">首先，文章提到中国劳动份额较低，但没有提供更多关于该问题的背景信息。例如，没有说明为什么中国的劳动份额低于其他发达国家和高收入经济体，并且没有考虑到其他可能影响劳动份额的因素。这种片面报道可能导致读者对问题的理解不完整。</w:t>
      </w:r>
    </w:p>
    <w:p>
      <w:pPr>
        <w:jc w:val="both"/>
      </w:pPr>
      <w:r>
        <w:rPr/>
        <w:t xml:space="preserve"/>
      </w:r>
    </w:p>
    <w:p>
      <w:pPr>
        <w:jc w:val="both"/>
      </w:pPr>
      <w:r>
        <w:rPr/>
        <w:t xml:space="preserve">其次，文章提到了两种关于环境规制对就业的影响的观点，但并未提供足够的证据来支持或反驳这些观点。文章只是简单地列举了一些学者的观点，并没有进行深入分析或综合评估。这种缺乏基础和证据支持的主张可能会削弱文章的可信度。</w:t>
      </w:r>
    </w:p>
    <w:p>
      <w:pPr>
        <w:jc w:val="both"/>
      </w:pPr>
      <w:r>
        <w:rPr/>
        <w:t xml:space="preserve"/>
      </w:r>
    </w:p>
    <w:p>
      <w:pPr>
        <w:jc w:val="both"/>
      </w:pPr>
      <w:r>
        <w:rPr/>
        <w:t xml:space="preserve">此外，文章将中国环境保护税法作为一个准自然实验来研究环境规制政策对劳动份额的影响，但并未充分考虑其他可能影响结果的因素。例如，文章没有讨论与税收改革同时进行的其他政策措施，也没有考虑到企业和个人如何应对税收改革的影响。这种缺失的考虑点可能导致对结果的解释不完整。</w:t>
      </w:r>
    </w:p>
    <w:p>
      <w:pPr>
        <w:jc w:val="both"/>
      </w:pPr>
      <w:r>
        <w:rPr/>
        <w:t xml:space="preserve"/>
      </w:r>
    </w:p>
    <w:p>
      <w:pPr>
        <w:jc w:val="both"/>
      </w:pPr>
      <w:r>
        <w:rPr/>
        <w:t xml:space="preserve">此外，文章没有提供足够的证据来支持其关于环境保护税带来“绿色成本”或“绿色红利”的主张。文章只是简单地提出了一些问题，但没有进行实证研究或数据分析来回答这些问题。这种缺乏证据支持的主张可能会削弱文章的可信度和说服力。</w:t>
      </w:r>
    </w:p>
    <w:p>
      <w:pPr>
        <w:jc w:val="both"/>
      </w:pPr>
      <w:r>
        <w:rPr/>
        <w:t xml:space="preserve"/>
      </w:r>
    </w:p>
    <w:p>
      <w:pPr>
        <w:jc w:val="both"/>
      </w:pPr>
      <w:r>
        <w:rPr/>
        <w:t xml:space="preserve">最后，文章没有探讨可能存在的反驳观点或其他可能解释结果的因素。例如，文章没有讨论企业如何通过创新和技术进步来应对环境规制，并可能提高劳动份额。这种未探索的反驳观点可能导致读者对问题的理解不完整。</w:t>
      </w:r>
    </w:p>
    <w:p>
      <w:pPr>
        <w:jc w:val="both"/>
      </w:pPr>
      <w:r>
        <w:rPr/>
        <w:t xml:space="preserve"/>
      </w:r>
    </w:p>
    <w:p>
      <w:pPr>
        <w:jc w:val="both"/>
      </w:pPr>
      <w:r>
        <w:rPr/>
        <w:t xml:space="preserve">总体而言，这篇文章在分析中国绿色税收改革对劳动份额影响时存在潜在偏见、片面报道、无根据的主张、缺失的考虑点、所提出主张的缺失证据、未探索的反驳等问题。为了增强其可信度和说服力，作者需要更全面地考虑相关因素，并提供充分的证据和分析来支持其观点。</w:t>
      </w:r>
    </w:p>
    <w:p>
      <w:pPr>
        <w:pStyle w:val="Heading1"/>
      </w:pPr>
      <w:bookmarkStart w:id="5" w:name="_Toc5"/>
      <w:r>
        <w:t>Topics for further research:</w:t>
      </w:r>
      <w:bookmarkEnd w:id="5"/>
    </w:p>
    <w:p>
      <w:pPr>
        <w:spacing w:after="0"/>
        <w:numPr>
          <w:ilvl w:val="0"/>
          <w:numId w:val="2"/>
        </w:numPr>
      </w:pPr>
      <w:r>
        <w:rPr/>
        <w:t xml:space="preserve">中国劳动份额低的原因
</w:t>
      </w:r>
    </w:p>
    <w:p>
      <w:pPr>
        <w:spacing w:after="0"/>
        <w:numPr>
          <w:ilvl w:val="0"/>
          <w:numId w:val="2"/>
        </w:numPr>
      </w:pPr>
      <w:r>
        <w:rPr/>
        <w:t xml:space="preserve">环境规制对就业的影响的证据
</w:t>
      </w:r>
    </w:p>
    <w:p>
      <w:pPr>
        <w:spacing w:after="0"/>
        <w:numPr>
          <w:ilvl w:val="0"/>
          <w:numId w:val="2"/>
        </w:numPr>
      </w:pPr>
      <w:r>
        <w:rPr/>
        <w:t xml:space="preserve">环境保护税法以外的其他政策措施对劳动份额的影响
</w:t>
      </w:r>
    </w:p>
    <w:p>
      <w:pPr>
        <w:spacing w:after="0"/>
        <w:numPr>
          <w:ilvl w:val="0"/>
          <w:numId w:val="2"/>
        </w:numPr>
      </w:pPr>
      <w:r>
        <w:rPr/>
        <w:t xml:space="preserve">环境保护税带来的绿色成本或绿色红利的证据
</w:t>
      </w:r>
    </w:p>
    <w:p>
      <w:pPr>
        <w:spacing w:after="0"/>
        <w:numPr>
          <w:ilvl w:val="0"/>
          <w:numId w:val="2"/>
        </w:numPr>
      </w:pPr>
      <w:r>
        <w:rPr/>
        <w:t xml:space="preserve">企业如何通过创新和技术进步来应对环境规制
</w:t>
      </w:r>
    </w:p>
    <w:p>
      <w:pPr>
        <w:numPr>
          <w:ilvl w:val="0"/>
          <w:numId w:val="2"/>
        </w:numPr>
      </w:pPr>
      <w:r>
        <w:rPr/>
        <w:t xml:space="preserve">反驳观点和其他可能解释结果的因素</w:t>
      </w:r>
    </w:p>
    <w:p>
      <w:pPr>
        <w:pStyle w:val="Heading1"/>
      </w:pPr>
      <w:bookmarkStart w:id="6" w:name="_Toc6"/>
      <w:r>
        <w:t>Report location:</w:t>
      </w:r>
      <w:bookmarkEnd w:id="6"/>
    </w:p>
    <w:p>
      <w:hyperlink r:id="rId8" w:history="1">
        <w:r>
          <w:rPr>
            <w:color w:val="2980b9"/>
            <w:u w:val="single"/>
          </w:rPr>
          <w:t xml:space="preserve">https://www.fullpicture.app/item/736bc815d682c15cb041da3cab09dfc9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4BD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0988323003602" TargetMode="External"/><Relationship Id="rId8" Type="http://schemas.openxmlformats.org/officeDocument/2006/relationships/hyperlink" Target="https://www.fullpicture.app/item/736bc815d682c15cb041da3cab09d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2024-01-12T01:01:06+01:00</dcterms:created>
  <dcterms:modified xsi:type="dcterms:W3CDTF">2024-01-12T01:01:06+01:00</dcterms:modified>
</cp:coreProperties>
</file>

<file path=docProps/custom.xml><?xml version="1.0" encoding="utf-8"?>
<Properties xmlns="http://schemas.openxmlformats.org/officeDocument/2006/custom-properties" xmlns:vt="http://schemas.openxmlformats.org/officeDocument/2006/docPropsVTypes"/>
</file>