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Engagement in Human-Agent Interaction: An Overview</w:t>
      </w:r>
      <w:br/>
      <w:hyperlink r:id="rId7" w:history="1">
        <w:r>
          <w:rPr>
            <w:color w:val="2980b9"/>
            <w:u w:val="single"/>
          </w:rPr>
          <w:t xml:space="preserve">https://www.frontiersin.org/articles/10.3389/frobt.2020.00092/full</w:t>
        </w:r>
      </w:hyperlink>
    </w:p>
    <w:p>
      <w:pPr>
        <w:pStyle w:val="Heading1"/>
      </w:pPr>
      <w:bookmarkStart w:id="2" w:name="_Toc2"/>
      <w:r>
        <w:t>Article summary:</w:t>
      </w:r>
      <w:bookmarkEnd w:id="2"/>
    </w:p>
    <w:p>
      <w:pPr>
        <w:jc w:val="both"/>
      </w:pPr>
      <w:r>
        <w:rPr/>
        <w:t xml:space="preserve">1. Engagement is a crucial concept in human-agent interaction, particularly for agents that converse with human users and aim to manage their engagement in the interaction.</w:t>
      </w:r>
    </w:p>
    <w:p>
      <w:pPr>
        <w:jc w:val="both"/>
      </w:pPr>
      <w:r>
        <w:rPr/>
        <w:t xml:space="preserve">2. There is great variability and overlap in the definition of engagement, which has led to the development of computational models to compute engagement and drive agent behavior.</w:t>
      </w:r>
    </w:p>
    <w:p>
      <w:pPr>
        <w:jc w:val="both"/>
      </w:pPr>
      <w:r>
        <w:rPr/>
        <w:t xml:space="preserve">3. This article reviews the literature on engagement in human-agent interaction, covering topics such as different definitions of engagement, how it differs across various factors (e.g. interaction settings, user types), methods for detecting and generating engagement behaviors, and adaptation strategies applied by agents to maintain or increase engagement.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该文章提供了对人机交互中“参与度”概念的综述。然而，文章存在一些偏见和不足之处。</w:t>
      </w:r>
    </w:p>
    <w:p>
      <w:pPr>
        <w:jc w:val="both"/>
      </w:pPr>
      <w:r>
        <w:rPr/>
        <w:t xml:space="preserve"/>
      </w:r>
    </w:p>
    <w:p>
      <w:pPr>
        <w:jc w:val="both"/>
      </w:pPr>
      <w:r>
        <w:rPr/>
        <w:t xml:space="preserve">首先，文章没有充分探讨“参与度”的负面影响。虽然文章提到了如何维持、增加或显示不参与的策略，但它没有深入探讨这些策略可能会带来的负面影响。例如，在某些情况下，过度强调参与度可能会导致用户疲劳或焦虑。</w:t>
      </w:r>
    </w:p>
    <w:p>
      <w:pPr>
        <w:jc w:val="both"/>
      </w:pPr>
      <w:r>
        <w:rPr/>
        <w:t xml:space="preserve"/>
      </w:r>
    </w:p>
    <w:p>
      <w:pPr>
        <w:jc w:val="both"/>
      </w:pPr>
      <w:r>
        <w:rPr/>
        <w:t xml:space="preserve">其次，文章没有考虑到文化差异对“参与度”的影响。由于不同文化对社交互动的期望和规范不同，因此在跨文化环境中评估和实现“参与度”可能会产生误解或挫败感。</w:t>
      </w:r>
    </w:p>
    <w:p>
      <w:pPr>
        <w:jc w:val="both"/>
      </w:pPr>
      <w:r>
        <w:rPr/>
        <w:t xml:space="preserve"/>
      </w:r>
    </w:p>
    <w:p>
      <w:pPr>
        <w:jc w:val="both"/>
      </w:pPr>
      <w:r>
        <w:rPr/>
        <w:t xml:space="preserve">此外，文章没有涉及到隐私和道德问题。例如，在使用社交机器人时，用户可能会泄露个人信息或受到操纵。因此，在设计和实施这些系统时需要考虑隐私和道德问题。</w:t>
      </w:r>
    </w:p>
    <w:p>
      <w:pPr>
        <w:jc w:val="both"/>
      </w:pPr>
      <w:r>
        <w:rPr/>
        <w:t xml:space="preserve"/>
      </w:r>
    </w:p>
    <w:p>
      <w:pPr>
        <w:jc w:val="both"/>
      </w:pPr>
      <w:r>
        <w:rPr/>
        <w:t xml:space="preserve">最后，文章似乎偏袒使用计算模型来评估和驱动“参与度”。尽管这种方法可以提供客观的量化数据，但它也有局限性，并且不能完全代替主观评估和反馈。</w:t>
      </w:r>
    </w:p>
    <w:p>
      <w:pPr>
        <w:jc w:val="both"/>
      </w:pPr>
      <w:r>
        <w:rPr/>
        <w:t xml:space="preserve"/>
      </w:r>
    </w:p>
    <w:p>
      <w:pPr>
        <w:jc w:val="both"/>
      </w:pPr>
      <w:r>
        <w:rPr/>
        <w:t xml:space="preserve">综上所述，虽然该文章提供了对“参与度”概念的有用综述，但它也存在一些偏见和不足之处。未来的研究应该更加全面地考虑到这些问题，并探索如何在设计和实施人机交互系统时平衡参与度和其他因素。</w:t>
      </w:r>
    </w:p>
    <w:p>
      <w:pPr>
        <w:pStyle w:val="Heading1"/>
      </w:pPr>
      <w:bookmarkStart w:id="5" w:name="_Toc5"/>
      <w:r>
        <w:t>Topics for further research:</w:t>
      </w:r>
      <w:bookmarkEnd w:id="5"/>
    </w:p>
    <w:p>
      <w:pPr>
        <w:spacing w:after="0"/>
        <w:numPr>
          <w:ilvl w:val="0"/>
          <w:numId w:val="2"/>
        </w:numPr>
      </w:pPr>
      <w:r>
        <w:rPr/>
        <w:t xml:space="preserve">Negative effects of participation
</w:t>
      </w:r>
    </w:p>
    <w:p>
      <w:pPr>
        <w:spacing w:after="0"/>
        <w:numPr>
          <w:ilvl w:val="0"/>
          <w:numId w:val="2"/>
        </w:numPr>
      </w:pPr>
      <w:r>
        <w:rPr/>
        <w:t xml:space="preserve">Cultural differences in participation
</w:t>
      </w:r>
    </w:p>
    <w:p>
      <w:pPr>
        <w:spacing w:after="0"/>
        <w:numPr>
          <w:ilvl w:val="0"/>
          <w:numId w:val="2"/>
        </w:numPr>
      </w:pPr>
      <w:r>
        <w:rPr/>
        <w:t xml:space="preserve">Privacy and ethical concerns
</w:t>
      </w:r>
    </w:p>
    <w:p>
      <w:pPr>
        <w:spacing w:after="0"/>
        <w:numPr>
          <w:ilvl w:val="0"/>
          <w:numId w:val="2"/>
        </w:numPr>
      </w:pPr>
      <w:r>
        <w:rPr/>
        <w:t xml:space="preserve">Limitations of computational models
</w:t>
      </w:r>
    </w:p>
    <w:p>
      <w:pPr>
        <w:spacing w:after="0"/>
        <w:numPr>
          <w:ilvl w:val="0"/>
          <w:numId w:val="2"/>
        </w:numPr>
      </w:pPr>
      <w:r>
        <w:rPr/>
        <w:t xml:space="preserve">Subjective evaluation and feedback
</w:t>
      </w:r>
    </w:p>
    <w:p>
      <w:pPr>
        <w:numPr>
          <w:ilvl w:val="0"/>
          <w:numId w:val="2"/>
        </w:numPr>
      </w:pPr>
      <w:r>
        <w:rPr/>
        <w:t xml:space="preserve">Balancing participation with other factors</w:t>
      </w:r>
    </w:p>
    <w:p>
      <w:pPr>
        <w:pStyle w:val="Heading1"/>
      </w:pPr>
      <w:bookmarkStart w:id="6" w:name="_Toc6"/>
      <w:r>
        <w:t>Report location:</w:t>
      </w:r>
      <w:bookmarkEnd w:id="6"/>
    </w:p>
    <w:p>
      <w:hyperlink r:id="rId8" w:history="1">
        <w:r>
          <w:rPr>
            <w:color w:val="2980b9"/>
            <w:u w:val="single"/>
          </w:rPr>
          <w:t xml:space="preserve">https://www.fullpicture.app/item/73f0b7d8f44cff3067b4957f24a26bce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1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robt.2020.00092/full" TargetMode="External"/><Relationship Id="rId8" Type="http://schemas.openxmlformats.org/officeDocument/2006/relationships/hyperlink" Target="https://www.fullpicture.app/item/73f0b7d8f44cff3067b4957f24a26b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2023-12-19T04:17:52+01:00</dcterms:created>
  <dcterms:modified xsi:type="dcterms:W3CDTF">2023-12-19T04:17:52+01:00</dcterms:modified>
</cp:coreProperties>
</file>

<file path=docProps/custom.xml><?xml version="1.0" encoding="utf-8"?>
<Properties xmlns="http://schemas.openxmlformats.org/officeDocument/2006/custom-properties" xmlns:vt="http://schemas.openxmlformats.org/officeDocument/2006/docPropsVTypes"/>
</file>