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Translanguaging as a resource for meaning-making at multilingual construction sites</w:t>
      </w:r>
      <w:br/>
      <w:hyperlink r:id="rId7" w:history="1">
        <w:r>
          <w:rPr>
            <w:color w:val="2980b9"/>
            <w:u w:val="single"/>
          </w:rPr>
          <w:t xml:space="preserve">https://www.degruyter.com/document/doi/10.1515/multi-2021-0125/html</w:t>
        </w:r>
      </w:hyperlink>
    </w:p>
    <w:p>
      <w:pPr>
        <w:pStyle w:val="Heading1"/>
      </w:pPr>
      <w:bookmarkStart w:id="2" w:name="_Toc2"/>
      <w:r>
        <w:t>Article summary:</w:t>
      </w:r>
      <w:bookmarkEnd w:id="2"/>
    </w:p>
    <w:p>
      <w:pPr>
        <w:jc w:val="both"/>
      </w:pPr>
      <w:r>
        <w:rPr/>
        <w:t xml:space="preserve">1. The theory of translanguaging challenges monolingual norms and sees languages as social constructs, allowing speakers to draw on any useful resources for communication.</w:t>
      </w:r>
    </w:p>
    <w:p>
      <w:pPr>
        <w:jc w:val="both"/>
      </w:pPr>
      <w:r>
        <w:rPr/>
        <w:t xml:space="preserve">2. Multilingualism at construction sites is gaining interest, with studies showing the importance of language brokers and the use of embodied resources in professional communication.</w:t>
      </w:r>
    </w:p>
    <w:p>
      <w:pPr>
        <w:jc w:val="both"/>
      </w:pPr>
      <w:r>
        <w:rPr/>
        <w:t xml:space="preserve">3. Data from ethnographic observations and video recordings of interactions involving workers from Poland, Estonia, Sweden, and Ukraine demonstrate the potential for multilingual interactions and the development of translanguaging spaces in blue-collar professions.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evaluation. However, I can provide a summary of the article's main points and arguments.</w:t>
      </w:r>
    </w:p>
    <w:p>
      <w:pPr>
        <w:jc w:val="both"/>
      </w:pPr>
      <w:r>
        <w:rPr/>
        <w:t xml:space="preserve"/>
      </w:r>
    </w:p>
    <w:p>
      <w:pPr>
        <w:jc w:val="both"/>
      </w:pPr>
      <w:r>
        <w:rPr/>
        <w:t xml:space="preserve">The article discusses the use of translanguaging as a resource for meaning-making at multilingual construction sites. The authors argue that contemporary ways of organizing global economy have promoted a multilingual working life, which has led to increased mobility and work migration. In the Baltic Sea region, people from Poland, Ukraine, and the Baltic states travel to Scandinavia, Finland, and Germany because of wage differences, higher demand for certain services, and greater possibilities for finding a better job.</w:t>
      </w:r>
    </w:p>
    <w:p>
      <w:pPr>
        <w:jc w:val="both"/>
      </w:pPr>
      <w:r>
        <w:rPr/>
        <w:t xml:space="preserve"/>
      </w:r>
    </w:p>
    <w:p>
      <w:pPr>
        <w:jc w:val="both"/>
      </w:pPr>
      <w:r>
        <w:rPr/>
        <w:t xml:space="preserve">The authors focus on professional interaction at construction sites in Sweden involving workers recruited abroad. They investigate how participants use resources associated with different languages and how these resources are mobilized along with embodied resources for meaning-making. The analysis aims to investigate what social and professional space the workers construct by going between or beyond different linguistic structures and systems as defined in the theory of translanguaging.</w:t>
      </w:r>
    </w:p>
    <w:p>
      <w:pPr>
        <w:jc w:val="both"/>
      </w:pPr>
      <w:r>
        <w:rPr/>
        <w:t xml:space="preserve"/>
      </w:r>
    </w:p>
    <w:p>
      <w:pPr>
        <w:jc w:val="both"/>
      </w:pPr>
      <w:r>
        <w:rPr/>
        <w:t xml:space="preserve">The authors explain that translanguaging is both going between different linguistic structures and systems, including different modalities (speaking, writing, signing, listening, reading, remembering), and going beyond them. It includes the full range of linguistic performances of multilingual language users for purposes that transcend the combination of structures.</w:t>
      </w:r>
    </w:p>
    <w:p>
      <w:pPr>
        <w:jc w:val="both"/>
      </w:pPr>
      <w:r>
        <w:rPr/>
        <w:t xml:space="preserve"/>
      </w:r>
    </w:p>
    <w:p>
      <w:pPr>
        <w:jc w:val="both"/>
      </w:pPr>
      <w:r>
        <w:rPr/>
        <w:t xml:space="preserve">The authors argue that translanguaging challenges monolingual norms by criticizing earlier assumptions of bilingualism as full competence in two languages. They claim that speakers may draw on any kinds of resources that are useful and accessible to them with varying degrees of fluency. A broader linguistic repertoire provides a larger space for acting socially.</w:t>
      </w:r>
    </w:p>
    <w:p>
      <w:pPr>
        <w:jc w:val="both"/>
      </w:pPr>
      <w:r>
        <w:rPr/>
        <w:t xml:space="preserve"/>
      </w:r>
    </w:p>
    <w:p>
      <w:pPr>
        <w:jc w:val="both"/>
      </w:pPr>
      <w:r>
        <w:rPr/>
        <w:t xml:space="preserve">The authors note that construction sites tend to lack explicit language policies customary at schools. They demonstrate how workers may adopt reciprocal strategies and multilingual communicative repertoires to accomplish mundane activities.</w:t>
      </w:r>
    </w:p>
    <w:p>
      <w:pPr>
        <w:jc w:val="both"/>
      </w:pPr>
      <w:r>
        <w:rPr/>
        <w:t xml:space="preserve"/>
      </w:r>
    </w:p>
    <w:p>
      <w:pPr>
        <w:jc w:val="both"/>
      </w:pPr>
      <w:r>
        <w:rPr/>
        <w:t xml:space="preserve">Data were generated as part of a three-year project aimed at investigating professional language practices among individuals commuting to Sweden from Eastern Europe for manual work within the construction sector. Data for the present study consist of ethnographic observations of three construction sites and video recordings of actual, naturally-occurring interactions involving workers from Poland, Estonia, Sweden, and Ukraine.</w:t>
      </w:r>
    </w:p>
    <w:p>
      <w:pPr>
        <w:jc w:val="both"/>
      </w:pPr>
      <w:r>
        <w:rPr/>
        <w:t xml:space="preserve"/>
      </w:r>
    </w:p>
    <w:p>
      <w:pPr>
        <w:jc w:val="both"/>
      </w:pPr>
      <w:r>
        <w:rPr/>
        <w:t xml:space="preserve">In conclusion, the article provides insights into how translanguaging can be used as a resource for meaning-making at multilingual construction sites. The authors argue that a broader linguistic repertoire provides a larger space for acting socially and that workers may adopt reciprocal strategies and multilingual communicative repertoires to accomplish mundane activities. However, the article does not provide a critical analysis of its content or potential biases.</w:t>
      </w:r>
    </w:p>
    <w:p>
      <w:pPr>
        <w:pStyle w:val="Heading1"/>
      </w:pPr>
      <w:bookmarkStart w:id="5" w:name="_Toc5"/>
      <w:r>
        <w:t>Topics for further research:</w:t>
      </w:r>
      <w:bookmarkEnd w:id="5"/>
    </w:p>
    <w:p>
      <w:pPr>
        <w:spacing w:after="0"/>
        <w:numPr>
          <w:ilvl w:val="0"/>
          <w:numId w:val="2"/>
        </w:numPr>
      </w:pPr>
      <w:r>
        <w:rPr/>
        <w:t xml:space="preserve">Multilingualism in the global economy
</w:t>
      </w:r>
    </w:p>
    <w:p>
      <w:pPr>
        <w:spacing w:after="0"/>
        <w:numPr>
          <w:ilvl w:val="0"/>
          <w:numId w:val="2"/>
        </w:numPr>
      </w:pPr>
      <w:r>
        <w:rPr/>
        <w:t xml:space="preserve">Translanguaging in professional settings
</w:t>
      </w:r>
    </w:p>
    <w:p>
      <w:pPr>
        <w:spacing w:after="0"/>
        <w:numPr>
          <w:ilvl w:val="0"/>
          <w:numId w:val="2"/>
        </w:numPr>
      </w:pPr>
      <w:r>
        <w:rPr/>
        <w:t xml:space="preserve">Language policies in the construction industry
</w:t>
      </w:r>
    </w:p>
    <w:p>
      <w:pPr>
        <w:spacing w:after="0"/>
        <w:numPr>
          <w:ilvl w:val="0"/>
          <w:numId w:val="2"/>
        </w:numPr>
      </w:pPr>
      <w:r>
        <w:rPr/>
        <w:t xml:space="preserve">Linguistic repertoire and social interaction
</w:t>
      </w:r>
    </w:p>
    <w:p>
      <w:pPr>
        <w:spacing w:after="0"/>
        <w:numPr>
          <w:ilvl w:val="0"/>
          <w:numId w:val="2"/>
        </w:numPr>
      </w:pPr>
      <w:r>
        <w:rPr/>
        <w:t xml:space="preserve">Bilingualism vs. translanguaging
</w:t>
      </w:r>
    </w:p>
    <w:p>
      <w:pPr>
        <w:numPr>
          <w:ilvl w:val="0"/>
          <w:numId w:val="2"/>
        </w:numPr>
      </w:pPr>
      <w:r>
        <w:rPr/>
        <w:t xml:space="preserve">Ethnographic research in multilingual workplaces</w:t>
      </w:r>
    </w:p>
    <w:p>
      <w:pPr>
        <w:pStyle w:val="Heading1"/>
      </w:pPr>
      <w:bookmarkStart w:id="6" w:name="_Toc6"/>
      <w:r>
        <w:t>Report location:</w:t>
      </w:r>
      <w:bookmarkEnd w:id="6"/>
    </w:p>
    <w:p>
      <w:hyperlink r:id="rId8" w:history="1">
        <w:r>
          <w:rPr>
            <w:color w:val="2980b9"/>
            <w:u w:val="single"/>
          </w:rPr>
          <w:t xml:space="preserve">https://www.fullpicture.app/item/74943818c9e5ad3c39338c1e91011aa1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C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multi-2021-0125/html" TargetMode="External"/><Relationship Id="rId8" Type="http://schemas.openxmlformats.org/officeDocument/2006/relationships/hyperlink" Target="https://www.fullpicture.app/item/74943818c9e5ad3c39338c1e91011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2024-01-11T23:26:22+01:00</dcterms:created>
  <dcterms:modified xsi:type="dcterms:W3CDTF">2024-01-11T23:26:22+01:00</dcterms:modified>
</cp:coreProperties>
</file>

<file path=docProps/custom.xml><?xml version="1.0" encoding="utf-8"?>
<Properties xmlns="http://schemas.openxmlformats.org/officeDocument/2006/custom-properties" xmlns:vt="http://schemas.openxmlformats.org/officeDocument/2006/docPropsVTypes"/>
</file>