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Common Law, Reasons and Administrative Justice | The Cambridge Law Journal | Cambridge Core</w:t>
      </w:r>
      <w:br/>
      <w:hyperlink r:id="rId7" w:history="1">
        <w:r>
          <w:rPr>
            <w:color w:val="2980b9"/>
            <w:u w:val="single"/>
          </w:rPr>
          <w:t xml:space="preserve">https://www-cambridge-org.ezproxy.library.sydney.edu.au/core/journals/cambridge-law-journal/article/common-law-reasons-and-administrative-justice/72A5D1C9C39E2A38505103E0C4A7B2B5</w:t>
        </w:r>
      </w:hyperlink>
    </w:p>
    <w:p>
      <w:pPr>
        <w:pStyle w:val="Heading1"/>
      </w:pPr>
      <w:bookmarkStart w:id="2" w:name="_Toc2"/>
      <w:r>
        <w:t>Article summary:</w:t>
      </w:r>
      <w:bookmarkEnd w:id="2"/>
    </w:p>
    <w:p>
      <w:pPr>
        <w:jc w:val="both"/>
      </w:pPr>
      <w:r>
        <w:rPr/>
        <w:t xml:space="preserve">1. Common law has the capacity to develop and evolve, including in relation to the duty of public authorities to provide reasons for their decisions.</w:t>
      </w:r>
    </w:p>
    <w:p>
      <w:pPr>
        <w:jc w:val="both"/>
      </w:pPr>
      <w:r>
        <w:rPr/>
        <w:t xml:space="preserve">2. There is no general common law duty to furnish reasons, but this proposition has been challenged by those who argue that such a duty should exist.</w:t>
      </w:r>
    </w:p>
    <w:p>
      <w:pPr>
        <w:jc w:val="both"/>
      </w:pPr>
      <w:r>
        <w:rPr/>
        <w:t xml:space="preserve">3. Recent case law developments, culminating in R. v. Secretary of State for the Home Department, ex p. Doody, have placed greater emphasis on the importance of providing reasons for administrative decisions and have established a framework for reviewing decisions based on reasonableness and fairness.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it requires subjective interpretation and evaluation. However, based on the content of the article, it appears to be a scholarly discussion on recent developments in common law regarding the duty of public authorities to provide reasons for their decisions. The author acknowledges that there is no general common law duty to furnish reasons for a decision but argues that such a duty should exist. The article provides references to relevant case laws and academic literature to support the author's argument.</w:t>
      </w:r>
    </w:p>
    <w:p>
      <w:pPr>
        <w:jc w:val="both"/>
      </w:pPr>
      <w:r>
        <w:rPr/>
        <w:t xml:space="preserve"/>
      </w:r>
    </w:p>
    <w:p>
      <w:pPr>
        <w:jc w:val="both"/>
      </w:pPr>
      <w:r>
        <w:rPr/>
        <w:t xml:space="preserve">It is important to note that the article may have some potential biases or limitations. For instance, it may only present one side of the argument without exploring counterarguments or alternative perspectives. Additionally, it may rely heavily on certain sources or overlook others, leading to a skewed representation of the issue at hand. Furthermore, it may not consider all possible risks or unintended consequences associated with implementing a general duty to provide reasons for decisions by public authorities.</w:t>
      </w:r>
    </w:p>
    <w:p>
      <w:pPr>
        <w:jc w:val="both"/>
      </w:pPr>
      <w:r>
        <w:rPr/>
        <w:t xml:space="preserve"/>
      </w:r>
    </w:p>
    <w:p>
      <w:pPr>
        <w:jc w:val="both"/>
      </w:pPr>
      <w:r>
        <w:rPr/>
        <w:t xml:space="preserve">Overall, while the article appears to be well-researched and informative, readers should approach its arguments with critical thinking and consider other sources and perspectives before forming their own opinions on the issue.</w:t>
      </w:r>
    </w:p>
    <w:p>
      <w:pPr>
        <w:pStyle w:val="Heading1"/>
      </w:pPr>
      <w:bookmarkStart w:id="5" w:name="_Toc5"/>
      <w:r>
        <w:t>Topics for further research:</w:t>
      </w:r>
      <w:bookmarkEnd w:id="5"/>
    </w:p>
    <w:p>
      <w:pPr>
        <w:spacing w:after="0"/>
        <w:numPr>
          <w:ilvl w:val="0"/>
          <w:numId w:val="2"/>
        </w:numPr>
      </w:pPr>
      <w:r>
        <w:rPr/>
        <w:t xml:space="preserve">Counterarguments to duty to provide reasons for decisions by public authorities
</w:t>
      </w:r>
    </w:p>
    <w:p>
      <w:pPr>
        <w:spacing w:after="0"/>
        <w:numPr>
          <w:ilvl w:val="0"/>
          <w:numId w:val="2"/>
        </w:numPr>
      </w:pPr>
      <w:r>
        <w:rPr/>
        <w:t xml:space="preserve">Risks and unintended consequences of implementing a general duty to provide reasons
</w:t>
      </w:r>
    </w:p>
    <w:p>
      <w:pPr>
        <w:spacing w:after="0"/>
        <w:numPr>
          <w:ilvl w:val="0"/>
          <w:numId w:val="2"/>
        </w:numPr>
      </w:pPr>
      <w:r>
        <w:rPr/>
        <w:t xml:space="preserve">Alternative perspectives on the issue
</w:t>
      </w:r>
    </w:p>
    <w:p>
      <w:pPr>
        <w:spacing w:after="0"/>
        <w:numPr>
          <w:ilvl w:val="0"/>
          <w:numId w:val="2"/>
        </w:numPr>
      </w:pPr>
      <w:r>
        <w:rPr/>
        <w:t xml:space="preserve">Criticisms of the author's argument
</w:t>
      </w:r>
    </w:p>
    <w:p>
      <w:pPr>
        <w:spacing w:after="0"/>
        <w:numPr>
          <w:ilvl w:val="0"/>
          <w:numId w:val="2"/>
        </w:numPr>
      </w:pPr>
      <w:r>
        <w:rPr/>
        <w:t xml:space="preserve">Historical context of common law regarding duty to provide reasons
</w:t>
      </w:r>
    </w:p>
    <w:p>
      <w:pPr>
        <w:numPr>
          <w:ilvl w:val="0"/>
          <w:numId w:val="2"/>
        </w:numPr>
      </w:pPr>
      <w:r>
        <w:rPr/>
        <w:t xml:space="preserve">International comparisons of duty to provide reasons for decisions by public authorities</w:t>
      </w:r>
    </w:p>
    <w:p>
      <w:pPr>
        <w:pStyle w:val="Heading1"/>
      </w:pPr>
      <w:bookmarkStart w:id="6" w:name="_Toc6"/>
      <w:r>
        <w:t>Report location:</w:t>
      </w:r>
      <w:bookmarkEnd w:id="6"/>
    </w:p>
    <w:p>
      <w:hyperlink r:id="rId8" w:history="1">
        <w:r>
          <w:rPr>
            <w:color w:val="2980b9"/>
            <w:u w:val="single"/>
          </w:rPr>
          <w:t xml:space="preserve">https://www.fullpicture.app/item/75d4a5b609cdcfa60ed092eefc192832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0E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ezproxy.library.sydney.edu.au/core/journals/cambridge-law-journal/article/common-law-reasons-and-administrative-justice/72A5D1C9C39E2A38505103E0C4A7B2B5" TargetMode="External"/><Relationship Id="rId8" Type="http://schemas.openxmlformats.org/officeDocument/2006/relationships/hyperlink" Target="https://www.fullpicture.app/item/75d4a5b609cdcfa60ed092eefc1928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2023-12-29T18:00:37+01:00</dcterms:created>
  <dcterms:modified xsi:type="dcterms:W3CDTF">2023-12-29T18:00:37+01:00</dcterms:modified>
</cp:coreProperties>
</file>

<file path=docProps/custom.xml><?xml version="1.0" encoding="utf-8"?>
<Properties xmlns="http://schemas.openxmlformats.org/officeDocument/2006/custom-properties" xmlns:vt="http://schemas.openxmlformats.org/officeDocument/2006/docPropsVTypes"/>
</file>