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EU加盟国と欧州委員会が外国干渉や偽情報に対するキャンペーンルールブックに署名 – Euractiv</w:t>
      </w:r>
      <w:br/>
      <w:hyperlink r:id="rId7" w:history="1">
        <w:r>
          <w:rPr>
            <w:color w:val="2980b9"/>
            <w:u w:val="single"/>
          </w:rPr>
          <w:t xml:space="preserve">https://www.euractiv.com/section/elections/news/eu-parties-and-commission-sign-campaign-rulebook-against-foreign-interference-disinformation/</w:t>
        </w:r>
      </w:hyperlink>
    </w:p>
    <w:p>
      <w:pPr>
        <w:pStyle w:val="Heading1"/>
      </w:pPr>
      <w:bookmarkStart w:id="2" w:name="_Toc2"/>
      <w:r>
        <w:t>Article summary:</w:t>
      </w:r>
      <w:bookmarkEnd w:id="2"/>
    </w:p>
    <w:p>
      <w:pPr>
        <w:jc w:val="both"/>
      </w:pPr>
      <w:r>
        <w:rPr/>
        <w:t xml:space="preserve">1. EU member states and the European Commission have signed a campaign rulebook to protect the upcoming EU elections from foreign interference and misinformation.</w:t>
      </w:r>
    </w:p>
    <w:p>
      <w:pPr>
        <w:jc w:val="both"/>
      </w:pPr>
      <w:r>
        <w:rPr/>
        <w:t xml:space="preserve">2. The agreement, mediated by Vera Jourova of the European Commission, aims to safeguard EU elections from external influence and disinformation.</w:t>
      </w:r>
    </w:p>
    <w:p>
      <w:pPr>
        <w:jc w:val="both"/>
      </w:pPr>
      <w:r>
        <w:rPr/>
        <w:t xml:space="preserve">3. The code of conduct includes measures such as labeling AI-generated content, avoiding spreading baseless accusations against other parties, and promoting ethical and fair election campaigns among political parties in Europe.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signing of a code of conduct by all European political parties to protect the upcoming EU elections from foreign interference and misinformation. While this is an important step in safeguarding the integrity of the elections, there are several points that need critical analysis.</w:t>
      </w:r>
    </w:p>
    <w:p>
      <w:pPr>
        <w:jc w:val="both"/>
      </w:pPr>
      <w:r>
        <w:rPr/>
        <w:t xml:space="preserve"/>
      </w:r>
    </w:p>
    <w:p>
      <w:pPr>
        <w:jc w:val="both"/>
      </w:pPr>
      <w:r>
        <w:rPr/>
        <w:t xml:space="preserve">One potential bias in the article is the focus on extreme right-wing parties like France's National Rally and Germany's AfD participating in the code of conduct at the last minute. This could be seen as highlighting these parties in a negative light, while not providing equal attention to other mainstream parties that also signed the agreement.</w:t>
      </w:r>
    </w:p>
    <w:p>
      <w:pPr>
        <w:jc w:val="both"/>
      </w:pPr>
      <w:r>
        <w:rPr/>
        <w:t xml:space="preserve"/>
      </w:r>
    </w:p>
    <w:p>
      <w:pPr>
        <w:jc w:val="both"/>
      </w:pPr>
      <w:r>
        <w:rPr/>
        <w:t xml:space="preserve">The article mentions that the code of conduct does not apply to individual parties running election campaigns, only to European political parties. This raises questions about how effective the agreement will be in preventing misinformation and foreign interference at a grassroots level during the elections.</w:t>
      </w:r>
    </w:p>
    <w:p>
      <w:pPr>
        <w:jc w:val="both"/>
      </w:pPr>
      <w:r>
        <w:rPr/>
        <w:t xml:space="preserve"/>
      </w:r>
    </w:p>
    <w:p>
      <w:pPr>
        <w:jc w:val="both"/>
      </w:pPr>
      <w:r>
        <w:rPr/>
        <w:t xml:space="preserve">Additionally, there are unsupported claims in the article, such as stating that independent monitoring and enforcement mechanisms are lacking in the code of conduct. While this may be true, more evidence or examples could have been provided to support this claim.</w:t>
      </w:r>
    </w:p>
    <w:p>
      <w:pPr>
        <w:jc w:val="both"/>
      </w:pPr>
      <w:r>
        <w:rPr/>
        <w:t xml:space="preserve"/>
      </w:r>
    </w:p>
    <w:p>
      <w:pPr>
        <w:jc w:val="both"/>
      </w:pPr>
      <w:r>
        <w:rPr/>
        <w:t xml:space="preserve">The article also fails to explore potential counterarguments or criticisms of the code of conduct. For example, some may argue that self-regulation by political parties is not enough to prevent foreign interference and misinformation, and that stronger regulatory measures are needed.</w:t>
      </w:r>
    </w:p>
    <w:p>
      <w:pPr>
        <w:jc w:val="both"/>
      </w:pPr>
      <w:r>
        <w:rPr/>
        <w:t xml:space="preserve"/>
      </w:r>
    </w:p>
    <w:p>
      <w:pPr>
        <w:jc w:val="both"/>
      </w:pPr>
      <w:r>
        <w:rPr/>
        <w:t xml:space="preserve">Furthermore, there is a lack of discussion on potential risks associated with labeling AI-generated content or adding watermarks to it. These measures could potentially infringe on freedom of speech or lead to censorship if not implemented carefully.</w:t>
      </w:r>
    </w:p>
    <w:p>
      <w:pPr>
        <w:jc w:val="both"/>
      </w:pPr>
      <w:r>
        <w:rPr/>
        <w:t xml:space="preserve"/>
      </w:r>
    </w:p>
    <w:p>
      <w:pPr>
        <w:jc w:val="both"/>
      </w:pPr>
      <w:r>
        <w:rPr/>
        <w:t xml:space="preserve">Overall, while the article provides valuable information about efforts to protect EU elections from interference and misinformation, it lacks depth in analyzing potential challenges and criticisms of the code of conduct. It would benefit from presenting a more balanced view by exploring different perspectives on this issue.</w:t>
      </w:r>
    </w:p>
    <w:p>
      <w:pPr>
        <w:pStyle w:val="Heading1"/>
      </w:pPr>
      <w:bookmarkStart w:id="5" w:name="_Toc5"/>
      <w:r>
        <w:t>Topics for further research:</w:t>
      </w:r>
      <w:bookmarkEnd w:id="5"/>
    </w:p>
    <w:p>
      <w:pPr>
        <w:spacing w:after="0"/>
        <w:numPr>
          <w:ilvl w:val="0"/>
          <w:numId w:val="2"/>
        </w:numPr>
      </w:pPr>
      <w:r>
        <w:rPr/>
        <w:t xml:space="preserve">Criticisms of self-regulation in preventing foreign interference in elections
</w:t>
      </w:r>
    </w:p>
    <w:p>
      <w:pPr>
        <w:spacing w:after="0"/>
        <w:numPr>
          <w:ilvl w:val="0"/>
          <w:numId w:val="2"/>
        </w:numPr>
      </w:pPr>
      <w:r>
        <w:rPr/>
        <w:t xml:space="preserve">Effectiveness of independent monitoring mechanisms in safeguarding election integrity
</w:t>
      </w:r>
    </w:p>
    <w:p>
      <w:pPr>
        <w:spacing w:after="0"/>
        <w:numPr>
          <w:ilvl w:val="0"/>
          <w:numId w:val="2"/>
        </w:numPr>
      </w:pPr>
      <w:r>
        <w:rPr/>
        <w:t xml:space="preserve">Risks of labeling AI-generated content in the context of misinformation
</w:t>
      </w:r>
    </w:p>
    <w:p>
      <w:pPr>
        <w:spacing w:after="0"/>
        <w:numPr>
          <w:ilvl w:val="0"/>
          <w:numId w:val="2"/>
        </w:numPr>
      </w:pPr>
      <w:r>
        <w:rPr/>
        <w:t xml:space="preserve">Freedom of speech implications of adding watermarks to online content
</w:t>
      </w:r>
    </w:p>
    <w:p>
      <w:pPr>
        <w:spacing w:after="0"/>
        <w:numPr>
          <w:ilvl w:val="0"/>
          <w:numId w:val="2"/>
        </w:numPr>
      </w:pPr>
      <w:r>
        <w:rPr/>
        <w:t xml:space="preserve">Regulatory measures to prevent foreign interference in elections
</w:t>
      </w:r>
    </w:p>
    <w:p>
      <w:pPr>
        <w:numPr>
          <w:ilvl w:val="0"/>
          <w:numId w:val="2"/>
        </w:numPr>
      </w:pPr>
      <w:r>
        <w:rPr/>
        <w:t xml:space="preserve">Challenges of combating misinformation in political campaigns</w:t>
      </w:r>
    </w:p>
    <w:p>
      <w:pPr>
        <w:pStyle w:val="Heading1"/>
      </w:pPr>
      <w:bookmarkStart w:id="6" w:name="_Toc6"/>
      <w:r>
        <w:t>Report location:</w:t>
      </w:r>
      <w:bookmarkEnd w:id="6"/>
    </w:p>
    <w:p>
      <w:hyperlink r:id="rId8" w:history="1">
        <w:r>
          <w:rPr>
            <w:color w:val="2980b9"/>
            <w:u w:val="single"/>
          </w:rPr>
          <w:t xml:space="preserve">https://www.fullpicture.app/item/7626892ff9fc23157ef2b599c1f50e9a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616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activ.com/section/elections/news/eu-parties-and-commission-sign-campaign-rulebook-against-foreign-interference-disinformation/" TargetMode="External"/><Relationship Id="rId8" Type="http://schemas.openxmlformats.org/officeDocument/2006/relationships/hyperlink" Target="https://www.fullpicture.app/item/7626892ff9fc23157ef2b599c1f50e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2024-07-14T21:32:06+02:00</dcterms:created>
  <dcterms:modified xsi:type="dcterms:W3CDTF">2024-07-14T21:32:06+02:00</dcterms:modified>
</cp:coreProperties>
</file>

<file path=docProps/custom.xml><?xml version="1.0" encoding="utf-8"?>
<Properties xmlns="http://schemas.openxmlformats.org/officeDocument/2006/custom-properties" xmlns:vt="http://schemas.openxmlformats.org/officeDocument/2006/docPropsVTypes"/>
</file>