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Are banks better money doctors? An analysis of mutual fund flows of bank and non-bank funds using Canadian data - ScienceDirect</w:t>
      </w:r>
      <w:br/>
      <w:hyperlink r:id="rId7" w:history="1">
        <w:r>
          <w:rPr>
            <w:color w:val="2980b9"/>
            <w:u w:val="single"/>
          </w:rPr>
          <w:t xml:space="preserve">https://vpn.jlu.edu.cn/https/44696469646131313237446964696461bd6feb2610cba212c258e268de7790f17702c29fe5/science/article/pii/S1062940823001481</w:t>
        </w:r>
      </w:hyperlink>
    </w:p>
    <w:p>
      <w:pPr>
        <w:pStyle w:val="Heading1"/>
      </w:pPr>
      <w:bookmarkStart w:id="2" w:name="_Toc2"/>
      <w:r>
        <w:t>Article summary:</w:t>
      </w:r>
      <w:bookmarkEnd w:id="2"/>
    </w:p>
    <w:p>
      <w:pPr>
        <w:jc w:val="both"/>
      </w:pPr>
      <w:r>
        <w:rPr/>
        <w:t xml:space="preserve">1. Mutual funds are popular investment products globally, with a combined total net assets of $U.S. 46.7 trillion worldwide and $CDN 1.4 trillion in Canada in 2018.</w:t>
      </w:r>
    </w:p>
    <w:p>
      <w:pPr>
        <w:jc w:val="both"/>
      </w:pPr>
      <w:r>
        <w:rPr/>
        <w:t xml:space="preserve">2. The flow-performance sensitivity of mutual funds is convex, indicating that fund managers have an incentive to take risks to attract future inflows and avoid outflows.</w:t>
      </w:r>
    </w:p>
    <w:p>
      <w:pPr>
        <w:jc w:val="both"/>
      </w:pPr>
      <w:r>
        <w:rPr/>
        <w:t xml:space="preserve">3. Canadian banks have entered the mutual fund market since the 1990s and now account for approximately half of the mutual fund market in Canada, thanks to their market power and access to investors, including unsophisticated ones.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银行是更好的资金医生吗？使用加拿大数据对银行和非银行基金的流动进行分析”。从标题来看，文章似乎要探讨银行和非银行基金在投资方面的差异。然而，在阅读文章正文之前，很难确定作者是否有偏见或倾向性。</w:t>
      </w:r>
    </w:p>
    <w:p>
      <w:pPr>
        <w:jc w:val="both"/>
      </w:pPr>
      <w:r>
        <w:rPr/>
        <w:t xml:space="preserve"/>
      </w:r>
    </w:p>
    <w:p>
      <w:pPr>
        <w:jc w:val="both"/>
      </w:pPr>
      <w:r>
        <w:rPr/>
        <w:t xml:space="preserve">在文章的引言部分，作者提到了关于互惠基金流动性的观察，并提出了一些解释。然而，这些解释并没有提供足够的证据来支持作者所提出的观点。例如，作者提到了Gennaioli、Shleifer和Vishny（2015）的研究，该研究提出了信任理论来解释对资金经理的需求。然而，作者没有详细说明这个理论如何与互惠基金流动性之间的关系相关联。</w:t>
      </w:r>
    </w:p>
    <w:p>
      <w:pPr>
        <w:jc w:val="both"/>
      </w:pPr>
      <w:r>
        <w:rPr/>
        <w:t xml:space="preserve"/>
      </w:r>
    </w:p>
    <w:p>
      <w:pPr>
        <w:jc w:val="both"/>
      </w:pPr>
      <w:r>
        <w:rPr/>
        <w:t xml:space="preserve">此外，在介绍部分中，作者还提到了加拿大商业银行进入互惠基金市场以及它们在该市场上所占份额不断增长的情况。然而，作者没有提供足够的数据或证据来支持这一观点。他们只是简单地列举了一些数字，并没有深入探讨为什么加拿大商业银行在互惠基金市场上的份额增长得如此迅速。</w:t>
      </w:r>
    </w:p>
    <w:p>
      <w:pPr>
        <w:jc w:val="both"/>
      </w:pPr>
      <w:r>
        <w:rPr/>
        <w:t xml:space="preserve"/>
      </w:r>
    </w:p>
    <w:p>
      <w:pPr>
        <w:jc w:val="both"/>
      </w:pPr>
      <w:r>
        <w:rPr/>
        <w:t xml:space="preserve">此外，文章还提到了不同国家之间在互惠基金市场份额方面的差异。然而，作者没有详细说明这些差异是如何产生的，也没有提供足够的数据或证据来支持他们所提出的观点。</w:t>
      </w:r>
    </w:p>
    <w:p>
      <w:pPr>
        <w:jc w:val="both"/>
      </w:pPr>
      <w:r>
        <w:rPr/>
        <w:t xml:space="preserve"/>
      </w:r>
    </w:p>
    <w:p>
      <w:pPr>
        <w:jc w:val="both"/>
      </w:pPr>
      <w:r>
        <w:rPr/>
        <w:t xml:space="preserve">总体而言，这篇文章存在一些问题。首先，作者没有提供足够的证据来支持他们所提出的观点。其次，他们没有深入探讨已有研究中提到的解释，并且没有对自己的观点进行充分论证。最后，他们没有平等地呈现双方观点，并且可能存在一些偏袒银行基金的倾向。</w:t>
      </w:r>
    </w:p>
    <w:p>
      <w:pPr>
        <w:jc w:val="both"/>
      </w:pPr>
      <w:r>
        <w:rPr/>
        <w:t xml:space="preserve"/>
      </w:r>
    </w:p>
    <w:p>
      <w:pPr>
        <w:jc w:val="both"/>
      </w:pPr>
      <w:r>
        <w:rPr/>
        <w:t xml:space="preserve">为了改进这篇文章，作者可以提供更多的数据和证据来支持他们所提出的观点。此外，他们应该更全面地考虑已有研究中提到的解释，并对自己的观点进行充分论证。最重要的是，他们应该平等地呈现双方观点，并避免任何偏袒或宣传内容。</w:t>
      </w:r>
    </w:p>
    <w:p>
      <w:pPr>
        <w:pStyle w:val="Heading1"/>
      </w:pPr>
      <w:bookmarkStart w:id="5" w:name="_Toc5"/>
      <w:r>
        <w:t>Topics for further research:</w:t>
      </w:r>
      <w:bookmarkEnd w:id="5"/>
    </w:p>
    <w:p>
      <w:pPr>
        <w:spacing w:after="0"/>
        <w:numPr>
          <w:ilvl w:val="0"/>
          <w:numId w:val="2"/>
        </w:numPr>
      </w:pPr>
      <w:r>
        <w:rPr/>
        <w:t xml:space="preserve">银行和非银行基金的投资差异
</w:t>
      </w:r>
    </w:p>
    <w:p>
      <w:pPr>
        <w:spacing w:after="0"/>
        <w:numPr>
          <w:ilvl w:val="0"/>
          <w:numId w:val="2"/>
        </w:numPr>
      </w:pPr>
      <w:r>
        <w:rPr/>
        <w:t xml:space="preserve">互惠基金流动性的解释和影响因素
</w:t>
      </w:r>
    </w:p>
    <w:p>
      <w:pPr>
        <w:spacing w:after="0"/>
        <w:numPr>
          <w:ilvl w:val="0"/>
          <w:numId w:val="2"/>
        </w:numPr>
      </w:pPr>
      <w:r>
        <w:rPr/>
        <w:t xml:space="preserve">加拿大商业银行在互惠基金市场上的份额增长
</w:t>
      </w:r>
    </w:p>
    <w:p>
      <w:pPr>
        <w:spacing w:after="0"/>
        <w:numPr>
          <w:ilvl w:val="0"/>
          <w:numId w:val="2"/>
        </w:numPr>
      </w:pPr>
      <w:r>
        <w:rPr/>
        <w:t xml:space="preserve">不同国家之间在互惠基金市场份额方面的差异
</w:t>
      </w:r>
    </w:p>
    <w:p>
      <w:pPr>
        <w:spacing w:after="0"/>
        <w:numPr>
          <w:ilvl w:val="0"/>
          <w:numId w:val="2"/>
        </w:numPr>
      </w:pPr>
      <w:r>
        <w:rPr/>
        <w:t xml:space="preserve">信任理论与互惠基金流动性的关系
</w:t>
      </w:r>
    </w:p>
    <w:p>
      <w:pPr>
        <w:numPr>
          <w:ilvl w:val="0"/>
          <w:numId w:val="2"/>
        </w:numPr>
      </w:pPr>
      <w:r>
        <w:rPr/>
        <w:t xml:space="preserve">银行和非银行基金的优劣势比较</w:t>
      </w:r>
    </w:p>
    <w:p>
      <w:pPr>
        <w:pStyle w:val="Heading1"/>
      </w:pPr>
      <w:bookmarkStart w:id="6" w:name="_Toc6"/>
      <w:r>
        <w:t>Report location:</w:t>
      </w:r>
      <w:bookmarkEnd w:id="6"/>
    </w:p>
    <w:p>
      <w:hyperlink r:id="rId8" w:history="1">
        <w:r>
          <w:rPr>
            <w:color w:val="2980b9"/>
            <w:u w:val="single"/>
          </w:rPr>
          <w:t xml:space="preserve">https://www.fullpicture.app/item/766b5adb7c7d1fb710d23aa8cb3d60d8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B88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1062940823001481" TargetMode="External"/><Relationship Id="rId8" Type="http://schemas.openxmlformats.org/officeDocument/2006/relationships/hyperlink" Target="https://www.fullpicture.app/item/766b5adb7c7d1fb710d23aa8cb3d60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2024-05-08T05:40:50+02:00</dcterms:created>
  <dcterms:modified xsi:type="dcterms:W3CDTF">2024-05-08T05:40:50+02:00</dcterms:modified>
</cp:coreProperties>
</file>

<file path=docProps/custom.xml><?xml version="1.0" encoding="utf-8"?>
<Properties xmlns="http://schemas.openxmlformats.org/officeDocument/2006/custom-properties" xmlns:vt="http://schemas.openxmlformats.org/officeDocument/2006/docPropsVTypes"/>
</file>