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Trilaciclib prior to chemotherapy reduces the usage of supportive care interventions for chemotherapy‐induced myelosuppression in patients with small cell lung cancer: Pooled analysis of three randomized phase 2 trials - PMC</w:t>
      </w:r>
      <w:br/>
      <w:hyperlink r:id="rId7" w:history="1">
        <w:r>
          <w:rPr>
            <w:color w:val="2980b9"/>
            <w:u w:val="single"/>
          </w:rPr>
          <w:t xml:space="preserve">https://www.ncbi.nlm.nih.gov/pmc/articles/PMC8419768/</w:t>
        </w:r>
      </w:hyperlink>
    </w:p>
    <w:p>
      <w:pPr>
        <w:pStyle w:val="Heading1"/>
      </w:pPr>
      <w:bookmarkStart w:id="2" w:name="_Toc2"/>
      <w:r>
        <w:t>Article summary:</w:t>
      </w:r>
      <w:bookmarkEnd w:id="2"/>
    </w:p>
    <w:p>
      <w:pPr>
        <w:jc w:val="both"/>
      </w:pPr>
      <w:r>
        <w:rPr/>
        <w:t xml:space="preserve">1. Trilaciclib, a new drug administered prior to chemotherapy, has the potential to reduce the burden of chemotherapy-induced neutropenia and anemia on patients with extensive-stage small cell lung cancer.</w:t>
      </w:r>
    </w:p>
    <w:p>
      <w:pPr>
        <w:jc w:val="both"/>
      </w:pPr>
      <w:r>
        <w:rPr/>
        <w:t xml:space="preserve">2. Compared to placebo, trilaciclib significantly reduced the need for supportive care interventions such as granulocyte colony-stimulating factors (G-CSFs), erythropoiesis-stimulating agents (ESAs), and red blood cell (RBC) transfusions.</w:t>
      </w:r>
    </w:p>
    <w:p>
      <w:pPr>
        <w:jc w:val="both"/>
      </w:pPr>
      <w:r>
        <w:rPr/>
        <w:t xml:space="preserve">3. Patients typically received RBC transfusions over ESA administration when they had grade 3/4 anemia.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“Trilaciclib prior to chemotherapy reduces the usage of supportive care interventions for chemotherapy‐induced myelosuppression in patients with small cell lung cancer: Pooled analysis of three randomized phase 2 trials” is a well-written and comprehensive review of the effects of trilaciclib on chemotherapy-induced neutropenia and anemia in patients with extensive-stage small cell lung cancer. The authors provide evidence from three independent randomized phase 2 clinical trials that demonstrate that trilaciclib is effective in reducing the need for supportive care interventions such as G-CSFs, ESAs, and RBC transfusions compared to placebo. The authors also discuss how trilaciclib can reduce both the societal and economic burden of CIM on patients by improving key endpoints associated with CIM. </w:t>
      </w:r>
    </w:p>
    <w:p>
      <w:pPr>
        <w:jc w:val="both"/>
      </w:pPr>
      <w:r>
        <w:rPr/>
        <w:t xml:space="preserve">The article is generally trustworthy and reliable; however, there are some potential biases that should be noted. First, the study was funded by Merck &amp; Co., Inc., which may have influenced the results or conclusions presented in the article. Additionally, while the authors discuss how trilaciclib can reduce both societal and economic burdens associated with CIM, they do not provide any data or evidence to support this claim. Furthermore, while they discuss how RBC transfusions are typically administered over ESAs when patients have grade 3/4 anemia, they do not explore why this is so or what other factors may influence this decision. Finally, while they mention possible risks associated with trilaciclib use (e.g., increased risk of infection), they do not provide any further information about these risks or their implications for patient safety or outcomes. </w:t>
      </w:r>
    </w:p>
    <w:p>
      <w:pPr>
        <w:jc w:val="both"/>
      </w:pPr>
      <w:r>
        <w:rPr/>
        <w:t xml:space="preserve">In conclusion, while this article provides valuable insights into the effects of trilaciclib on CIM in patients with ES‐SCLC, it should be read critically due to potential biases related to funding sources and lack of evidence for certain claims made by the authors.</w:t>
      </w:r>
    </w:p>
    <w:p>
      <w:pPr>
        <w:pStyle w:val="Heading1"/>
      </w:pPr>
      <w:bookmarkStart w:id="5" w:name="_Toc5"/>
      <w:r>
        <w:t>Topics for further research:</w:t>
      </w:r>
      <w:bookmarkEnd w:id="5"/>
    </w:p>
    <w:p>
      <w:pPr>
        <w:spacing w:after="0"/>
        <w:numPr>
          <w:ilvl w:val="0"/>
          <w:numId w:val="2"/>
        </w:numPr>
      </w:pPr>
      <w:r>
        <w:rPr/>
        <w:t xml:space="preserve">Risk of infection associated with trilaciclib</w:t>
      </w:r>
    </w:p>
    <w:p>
      <w:pPr>
        <w:spacing w:after="0"/>
        <w:numPr>
          <w:ilvl w:val="0"/>
          <w:numId w:val="2"/>
        </w:numPr>
      </w:pPr>
      <w:r>
        <w:rPr/>
        <w:t xml:space="preserve">Factors influencing decision to administer RBC transfusions over ESAs</w:t>
      </w:r>
    </w:p>
    <w:p>
      <w:pPr>
        <w:spacing w:after="0"/>
        <w:numPr>
          <w:ilvl w:val="0"/>
          <w:numId w:val="2"/>
        </w:numPr>
      </w:pPr>
      <w:r>
        <w:rPr/>
        <w:t xml:space="preserve">Societal and economic burden of chemotherapy-induced myelosuppression</w:t>
      </w:r>
    </w:p>
    <w:p>
      <w:pPr>
        <w:spacing w:after="0"/>
        <w:numPr>
          <w:ilvl w:val="0"/>
          <w:numId w:val="2"/>
        </w:numPr>
      </w:pPr>
      <w:r>
        <w:rPr/>
        <w:t xml:space="preserve">Clinical trials evaluating trilaciclib for chemotherapy-induced myelosuppression</w:t>
      </w:r>
    </w:p>
    <w:p>
      <w:pPr>
        <w:spacing w:after="0"/>
        <w:numPr>
          <w:ilvl w:val="0"/>
          <w:numId w:val="2"/>
        </w:numPr>
      </w:pPr>
      <w:r>
        <w:rPr/>
        <w:t xml:space="preserve">Adverse effects of trilaciclib</w:t>
      </w:r>
    </w:p>
    <w:p>
      <w:pPr>
        <w:numPr>
          <w:ilvl w:val="0"/>
          <w:numId w:val="2"/>
        </w:numPr>
      </w:pPr>
      <w:r>
        <w:rPr/>
        <w:t xml:space="preserve">Impact of trilaciclib on patient outcomes</w:t>
      </w:r>
    </w:p>
    <w:p>
      <w:pPr>
        <w:pStyle w:val="Heading1"/>
      </w:pPr>
      <w:bookmarkStart w:id="6" w:name="_Toc6"/>
      <w:r>
        <w:t>Report location:</w:t>
      </w:r>
      <w:bookmarkEnd w:id="6"/>
    </w:p>
    <w:p>
      <w:hyperlink r:id="rId8" w:history="1">
        <w:r>
          <w:rPr>
            <w:color w:val="2980b9"/>
            <w:u w:val="single"/>
          </w:rPr>
          <w:t xml:space="preserve">https://www.fullpicture.app/item/7671fe9ed2897ba299b9e7f6016b49c9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6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19768/" TargetMode="External"/><Relationship Id="rId8" Type="http://schemas.openxmlformats.org/officeDocument/2006/relationships/hyperlink" Target="https://www.fullpicture.app/item/7671fe9ed2897ba299b9e7f6016b49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2023-03-03T18:19:59+01:00</dcterms:created>
  <dcterms:modified xsi:type="dcterms:W3CDTF">2023-03-03T18:19:59+01:00</dcterms:modified>
</cp:coreProperties>
</file>

<file path=docProps/custom.xml><?xml version="1.0" encoding="utf-8"?>
<Properties xmlns="http://schemas.openxmlformats.org/officeDocument/2006/custom-properties" xmlns:vt="http://schemas.openxmlformats.org/officeDocument/2006/docPropsVTypes"/>
</file>