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重新思考伊斯兰教和伊斯兰教：宗教、世俗主义和新自由主义之间的哈马斯妇女,Middle East Critique - X-MOL</w:t>
      </w:r>
      <w:br/>
      <w:hyperlink r:id="rId7" w:history="1">
        <w:r>
          <w:rPr>
            <w:color w:val="2980b9"/>
            <w:u w:val="single"/>
          </w:rPr>
          <w:t xml:space="preserve">https://www.x-mol.com/paper/1541534149316157440/t</w:t>
        </w:r>
      </w:hyperlink>
    </w:p>
    <w:p>
      <w:pPr>
        <w:pStyle w:val="Heading1"/>
      </w:pPr>
      <w:bookmarkStart w:id="2" w:name="_Toc2"/>
      <w:r>
        <w:t>Article summary:</w:t>
      </w:r>
      <w:bookmarkEnd w:id="2"/>
    </w:p>
    <w:p>
      <w:pPr>
        <w:jc w:val="both"/>
      </w:pPr>
      <w:r>
        <w:rPr/>
        <w:t xml:space="preserve">1. 在2016年比尔泽特大学选举中，哈马斯的女性发布了两段视频，引发了关于伊斯兰女性主体性的激烈辩论。</w:t>
      </w:r>
    </w:p>
    <w:p>
      <w:pPr>
        <w:jc w:val="both"/>
      </w:pPr>
      <w:r>
        <w:rPr/>
        <w:t xml:space="preserve">2. 大多数关于伊斯兰运动中女性的文献忽略了改变性别、性和宗教之间关系的历史和经济轨迹。</w:t>
      </w:r>
    </w:p>
    <w:p>
      <w:pPr>
        <w:jc w:val="both"/>
      </w:pPr>
      <w:r>
        <w:rPr/>
        <w:t xml:space="preserve">3. 通过对哈马斯妇女进行实地研究，揭示了伊斯兰主义与世俗/新自由主义和民族主义项目之间的关系，提出了对世俗现代性和宗教之间关系的重新思考。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这篇文章对哈马斯妇女在伊斯兰主义、世俗主义和新自由主义之间的角色进行了深入研究，试图挑战传统的自由主义分析框架。然而，文章存在一些潜在偏见和片面报道。</w:t>
      </w:r>
    </w:p>
    <w:p>
      <w:pPr>
        <w:jc w:val="both"/>
      </w:pPr>
      <w:r>
        <w:rPr/>
        <w:t xml:space="preserve"/>
      </w:r>
    </w:p>
    <w:p>
      <w:pPr>
        <w:jc w:val="both"/>
      </w:pPr>
      <w:r>
        <w:rPr/>
        <w:t xml:space="preserve">首先，文章似乎倾向于将哈马斯妇女描绘为在世俗现代性中不断变化的主体，但却没有提供足够的证据来支持这一观点。作者声称哈马斯妇女正在与新形式的世俗现代性相遇，并暗示她们对世俗和宗教类别的理解发生了转变，但并未详细说明这种转变是如何发生的以及其具体影响。</w:t>
      </w:r>
    </w:p>
    <w:p>
      <w:pPr>
        <w:jc w:val="both"/>
      </w:pPr>
      <w:r>
        <w:rPr/>
        <w:t xml:space="preserve"/>
      </w:r>
    </w:p>
    <w:p>
      <w:pPr>
        <w:jc w:val="both"/>
      </w:pPr>
      <w:r>
        <w:rPr/>
        <w:t xml:space="preserve">其次，文章似乎忽略了哈马斯作为一个政治组织对妇女权利和性别平等问题的立场。哈马斯被指责限制妇女权利，并推行保守的伊斯兰法规。因此，在讨论哈马斯妇女时，应该考虑到这一背景，并探讨她们如何在这种政治环境下行动。</w:t>
      </w:r>
    </w:p>
    <w:p>
      <w:pPr>
        <w:jc w:val="both"/>
      </w:pPr>
      <w:r>
        <w:rPr/>
        <w:t xml:space="preserve"/>
      </w:r>
    </w:p>
    <w:p>
      <w:pPr>
        <w:jc w:val="both"/>
      </w:pPr>
      <w:r>
        <w:rPr/>
        <w:t xml:space="preserve">此外，文章没有探讨哈马斯妇女可能面临的风险或挑战。在巴勒斯坦地区，妇女经常受到社会、文化和政治压力的影响，而哈马斯作为一个强大的政治力量可能会对其产生影响。因此，在讨论哈马斯妇女时，应该考虑到她们可能面临的困境和挑战。</w:t>
      </w:r>
    </w:p>
    <w:p>
      <w:pPr>
        <w:jc w:val="both"/>
      </w:pPr>
      <w:r>
        <w:rPr/>
        <w:t xml:space="preserve"/>
      </w:r>
    </w:p>
    <w:p>
      <w:pPr>
        <w:jc w:val="both"/>
      </w:pPr>
      <w:r>
        <w:rPr/>
        <w:t xml:space="preserve">总体而言，尽管这篇文章试图挑战传统观点并提出新颖观点，但仍存在一些缺失和偏见。进一步研究应该更全面地考虑到哈马斯作为一个政治组织对妇女权利和性别平等问题的立场，并深入探讨哈马斯妇女在复杂政治环境中所面临的挑战。</w:t>
      </w:r>
    </w:p>
    <w:p>
      <w:pPr>
        <w:pStyle w:val="Heading1"/>
      </w:pPr>
      <w:bookmarkStart w:id="5" w:name="_Toc5"/>
      <w:r>
        <w:t>Topics for further research:</w:t>
      </w:r>
      <w:bookmarkEnd w:id="5"/>
    </w:p>
    <w:p>
      <w:pPr>
        <w:spacing w:after="0"/>
        <w:numPr>
          <w:ilvl w:val="0"/>
          <w:numId w:val="2"/>
        </w:numPr>
      </w:pPr>
      <w:r>
        <w:rPr/>
        <w:t xml:space="preserve">哈马斯妇女在政治组织中的地位和权利
</w:t>
      </w:r>
    </w:p>
    <w:p>
      <w:pPr>
        <w:spacing w:after="0"/>
        <w:numPr>
          <w:ilvl w:val="0"/>
          <w:numId w:val="2"/>
        </w:numPr>
      </w:pPr>
      <w:r>
        <w:rPr/>
        <w:t xml:space="preserve">哈马斯对妇女权利和性别平等的政策
</w:t>
      </w:r>
    </w:p>
    <w:p>
      <w:pPr>
        <w:spacing w:after="0"/>
        <w:numPr>
          <w:ilvl w:val="0"/>
          <w:numId w:val="2"/>
        </w:numPr>
      </w:pPr>
      <w:r>
        <w:rPr/>
        <w:t xml:space="preserve">哈马斯妇女可能面临的社会、文化和政治压力
</w:t>
      </w:r>
    </w:p>
    <w:p>
      <w:pPr>
        <w:spacing w:after="0"/>
        <w:numPr>
          <w:ilvl w:val="0"/>
          <w:numId w:val="2"/>
        </w:numPr>
      </w:pPr>
      <w:r>
        <w:rPr/>
        <w:t xml:space="preserve">哈马斯妇女在复杂政治环境中的挑战
</w:t>
      </w:r>
    </w:p>
    <w:p>
      <w:pPr>
        <w:spacing w:after="0"/>
        <w:numPr>
          <w:ilvl w:val="0"/>
          <w:numId w:val="2"/>
        </w:numPr>
      </w:pPr>
      <w:r>
        <w:rPr/>
        <w:t xml:space="preserve">哈马斯妇女对世俗和宗教类别的理解和转变
</w:t>
      </w:r>
    </w:p>
    <w:p>
      <w:pPr>
        <w:numPr>
          <w:ilvl w:val="0"/>
          <w:numId w:val="2"/>
        </w:numPr>
      </w:pPr>
      <w:r>
        <w:rPr/>
        <w:t xml:space="preserve">哈马斯妇女在新自由主义和世俗主义之间的角色和影响</w:t>
      </w:r>
    </w:p>
    <w:p>
      <w:pPr>
        <w:pStyle w:val="Heading1"/>
      </w:pPr>
      <w:bookmarkStart w:id="6" w:name="_Toc6"/>
      <w:r>
        <w:t>Report location:</w:t>
      </w:r>
      <w:bookmarkEnd w:id="6"/>
    </w:p>
    <w:p>
      <w:hyperlink r:id="rId8" w:history="1">
        <w:r>
          <w:rPr>
            <w:color w:val="2980b9"/>
            <w:u w:val="single"/>
          </w:rPr>
          <w:t xml:space="preserve">https://www.fullpicture.app/item/781c3629fc78008969a078c2fcdf72fb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6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41534149316157440/t" TargetMode="External"/><Relationship Id="rId8" Type="http://schemas.openxmlformats.org/officeDocument/2006/relationships/hyperlink" Target="https://www.fullpicture.app/item/781c3629fc78008969a078c2fcdf7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2024-07-01T21:43:39+02:00</dcterms:created>
  <dcterms:modified xsi:type="dcterms:W3CDTF">2024-07-01T21:43:39+02:00</dcterms:modified>
</cp:coreProperties>
</file>

<file path=docProps/custom.xml><?xml version="1.0" encoding="utf-8"?>
<Properties xmlns="http://schemas.openxmlformats.org/officeDocument/2006/custom-properties" xmlns:vt="http://schemas.openxmlformats.org/officeDocument/2006/docPropsVTypes"/>
</file>