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Compliance Documents - Padua Research Manager</w:t>
      </w:r>
      <w:br/>
      <w:hyperlink r:id="rId7" w:history="1">
        <w:r>
          <w:rPr>
            <w:color w:val="2980b9"/>
            <w:u w:val="single"/>
          </w:rPr>
          <w:t xml:space="preserve">https://verona.padua.net.au/research/verona/compliancedocuments</w:t>
        </w:r>
      </w:hyperlink>
    </w:p>
    <w:p>
      <w:pPr>
        <w:pStyle w:val="Heading1"/>
      </w:pPr>
      <w:bookmarkStart w:id="2" w:name="_Toc2"/>
      <w:r>
        <w:t>Article summary:</w:t>
      </w:r>
      <w:bookmarkEnd w:id="2"/>
    </w:p>
    <w:p>
      <w:pPr>
        <w:jc w:val="both"/>
      </w:pPr>
      <w:r>
        <w:rPr/>
        <w:t xml:space="preserve">1. The article provides a list of compliance documents for various investment funds, including the Dimensional Global Core Equity Trust, iShares Australian Equity Index Fund, and Pendal Sustainable Balanced Fund.</w:t>
      </w:r>
    </w:p>
    <w:p>
      <w:pPr>
        <w:jc w:val="both"/>
      </w:pPr>
      <w:r>
        <w:rPr/>
        <w:t xml:space="preserve">2. The compliance documents include target market determinations and additional information guides for each fund.</w:t>
      </w:r>
    </w:p>
    <w:p>
      <w:pPr>
        <w:jc w:val="both"/>
      </w:pPr>
      <w:r>
        <w:rPr/>
        <w:t xml:space="preserve">3. The documents can be accessed through the provided sources, such as the official websites of the respective fund managers.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list of compliance documents for various investment funds, including the Dimensional Global Core Equity Trust, iShares Australian Equity Index Fund, and Pendal Sustainable Balanced Fund. However, it lacks any analysis or critical evaluation of these documents.</w:t>
      </w:r>
    </w:p>
    <w:p>
      <w:pPr>
        <w:jc w:val="both"/>
      </w:pPr>
      <w:r>
        <w:rPr/>
        <w:t xml:space="preserve"/>
      </w:r>
    </w:p>
    <w:p>
      <w:pPr>
        <w:jc w:val="both"/>
      </w:pPr>
      <w:r>
        <w:rPr/>
        <w:t xml:space="preserve">One potential bias in the article is the lack of information about the author or their affiliation. Without this information, it is difficult to determine if there are any conflicts of interest or biases that may influence the content.</w:t>
      </w:r>
    </w:p>
    <w:p>
      <w:pPr>
        <w:jc w:val="both"/>
      </w:pPr>
      <w:r>
        <w:rPr/>
        <w:t xml:space="preserve"/>
      </w:r>
    </w:p>
    <w:p>
      <w:pPr>
        <w:jc w:val="both"/>
      </w:pPr>
      <w:r>
        <w:rPr/>
        <w:t xml:space="preserve">Additionally, the article does not provide any context or background information about the investment funds themselves. It would be helpful to include details such as their performance history, investment strategies, and management teams. Without this information, readers are left with only compliance documents that may not provide a complete picture of the funds' potential risks and returns.</w:t>
      </w:r>
    </w:p>
    <w:p>
      <w:pPr>
        <w:jc w:val="both"/>
      </w:pPr>
      <w:r>
        <w:rPr/>
        <w:t xml:space="preserve"/>
      </w:r>
    </w:p>
    <w:p>
      <w:pPr>
        <w:jc w:val="both"/>
      </w:pPr>
      <w:r>
        <w:rPr/>
        <w:t xml:space="preserve">Furthermore, there is no discussion of any potential risks associated with investing in these funds. It would be important to address factors such as market volatility, regulatory changes, and economic conditions that could impact the performance of these investments.</w:t>
      </w:r>
    </w:p>
    <w:p>
      <w:pPr>
        <w:jc w:val="both"/>
      </w:pPr>
      <w:r>
        <w:rPr/>
        <w:t xml:space="preserve"/>
      </w:r>
    </w:p>
    <w:p>
      <w:pPr>
        <w:jc w:val="both"/>
      </w:pPr>
      <w:r>
        <w:rPr/>
        <w:t xml:space="preserve">The article also lacks any exploration of counterarguments or alternative perspectives. It presents the compliance documents as factual information without considering any potential criticisms or drawbacks of investing in these funds.</w:t>
      </w:r>
    </w:p>
    <w:p>
      <w:pPr>
        <w:jc w:val="both"/>
      </w:pPr>
      <w:r>
        <w:rPr/>
        <w:t xml:space="preserve"/>
      </w:r>
    </w:p>
    <w:p>
      <w:pPr>
        <w:jc w:val="both"/>
      </w:pPr>
      <w:r>
        <w:rPr/>
        <w:t xml:space="preserve">Overall, this article is limited in its scope and fails to provide a comprehensive analysis of the investment funds mentioned. Readers should seek additional sources of information and conduct their own research before making any investment decisions based solely on compliance documents.</w:t>
      </w:r>
    </w:p>
    <w:p>
      <w:pPr>
        <w:pStyle w:val="Heading1"/>
      </w:pPr>
      <w:bookmarkStart w:id="5" w:name="_Toc5"/>
      <w:r>
        <w:t>Topics for further research:</w:t>
      </w:r>
      <w:bookmarkEnd w:id="5"/>
    </w:p>
    <w:p>
      <w:pPr>
        <w:spacing w:after="0"/>
        <w:numPr>
          <w:ilvl w:val="0"/>
          <w:numId w:val="2"/>
        </w:numPr>
      </w:pPr>
      <w:r>
        <w:rPr/>
        <w:t xml:space="preserve">Performance history and returns of Dimensional Global Core Equity Trust
</w:t>
      </w:r>
    </w:p>
    <w:p>
      <w:pPr>
        <w:spacing w:after="0"/>
        <w:numPr>
          <w:ilvl w:val="0"/>
          <w:numId w:val="2"/>
        </w:numPr>
      </w:pPr>
      <w:r>
        <w:rPr/>
        <w:t xml:space="preserve">Investment strategies employed by iShares Australian Equity Index Fund
</w:t>
      </w:r>
    </w:p>
    <w:p>
      <w:pPr>
        <w:spacing w:after="0"/>
        <w:numPr>
          <w:ilvl w:val="0"/>
          <w:numId w:val="2"/>
        </w:numPr>
      </w:pPr>
      <w:r>
        <w:rPr/>
        <w:t xml:space="preserve">Management team and expertise of Pendal Sustainable Balanced Fund
</w:t>
      </w:r>
    </w:p>
    <w:p>
      <w:pPr>
        <w:spacing w:after="0"/>
        <w:numPr>
          <w:ilvl w:val="0"/>
          <w:numId w:val="2"/>
        </w:numPr>
      </w:pPr>
      <w:r>
        <w:rPr/>
        <w:t xml:space="preserve">Potential risks and volatility associated with investing in these funds
</w:t>
      </w:r>
    </w:p>
    <w:p>
      <w:pPr>
        <w:spacing w:after="0"/>
        <w:numPr>
          <w:ilvl w:val="0"/>
          <w:numId w:val="2"/>
        </w:numPr>
      </w:pPr>
      <w:r>
        <w:rPr/>
        <w:t xml:space="preserve">Criticisms or drawbacks of Dimensional Global Core Equity Trust
</w:t>
      </w:r>
    </w:p>
    <w:p>
      <w:pPr>
        <w:numPr>
          <w:ilvl w:val="0"/>
          <w:numId w:val="2"/>
        </w:numPr>
      </w:pPr>
      <w:r>
        <w:rPr/>
        <w:t xml:space="preserve">Regulatory changes and economic conditions that could impact the performance of investment funds</w:t>
      </w:r>
    </w:p>
    <w:p>
      <w:pPr>
        <w:pStyle w:val="Heading1"/>
      </w:pPr>
      <w:bookmarkStart w:id="6" w:name="_Toc6"/>
      <w:r>
        <w:t>Report location:</w:t>
      </w:r>
      <w:bookmarkEnd w:id="6"/>
    </w:p>
    <w:p>
      <w:hyperlink r:id="rId8" w:history="1">
        <w:r>
          <w:rPr>
            <w:color w:val="2980b9"/>
            <w:u w:val="single"/>
          </w:rPr>
          <w:t xml:space="preserve">https://www.fullpicture.app/item/78c1f81838c01c5475231689ed676990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60A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erona.padua.net.au/research/verona/compliancedocuments" TargetMode="External"/><Relationship Id="rId8" Type="http://schemas.openxmlformats.org/officeDocument/2006/relationships/hyperlink" Target="https://www.fullpicture.app/item/78c1f81838c01c5475231689ed6769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2024-04-20T11:54:20+02:00</dcterms:created>
  <dcterms:modified xsi:type="dcterms:W3CDTF">2024-04-20T11:54:20+02:00</dcterms:modified>
</cp:coreProperties>
</file>

<file path=docProps/custom.xml><?xml version="1.0" encoding="utf-8"?>
<Properties xmlns="http://schemas.openxmlformats.org/officeDocument/2006/custom-properties" xmlns:vt="http://schemas.openxmlformats.org/officeDocument/2006/docPropsVTypes"/>
</file>