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Multifamily Hits Speed Bumps After Rapid Growth – Commercial Observer</w:t>
      </w:r>
      <w:br/>
      <w:hyperlink r:id="rId7" w:history="1">
        <w:r>
          <w:rPr>
            <w:color w:val="2980b9"/>
            <w:u w:val="single"/>
          </w:rPr>
          <w:t xml:space="preserve">https://commercialobserver.com/2023/02/multifamily-asset-financing-2023/</w:t>
        </w:r>
      </w:hyperlink>
    </w:p>
    <w:p>
      <w:pPr>
        <w:pStyle w:val="Heading1"/>
      </w:pPr>
      <w:bookmarkStart w:id="2" w:name="_Toc2"/>
      <w:r>
        <w:t>Article summary:</w:t>
      </w:r>
      <w:bookmarkEnd w:id="2"/>
    </w:p>
    <w:p>
      <w:pPr>
        <w:jc w:val="both"/>
      </w:pPr>
      <w:r>
        <w:rPr/>
        <w:t xml:space="preserve">1. The multifamily sector is beginning to show signs of cooling, with average U.S. asking monthly rents declining in the fourth quarter of 2022.</w:t>
      </w:r>
    </w:p>
    <w:p>
      <w:pPr>
        <w:jc w:val="both"/>
      </w:pPr>
      <w:r>
        <w:rPr/>
        <w:t xml:space="preserve">2. The Chetrit Group is facing pressures to stay afloat due to below-average occupancy levels and rising interest rates on its floating-rate debt.</w:t>
      </w:r>
    </w:p>
    <w:p>
      <w:pPr>
        <w:jc w:val="both"/>
      </w:pPr>
      <w:r>
        <w:rPr/>
        <w:t xml:space="preserve">3. Despite a slight decrease in rent growth this year, the multifamily market remains well positioned overall and delinquency rates remain 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“Multifamily Hits Speed Bumps After Rapid Growth – Commercial Observer” provides an overview of the current state of the multifamily sector in the United States, focusing on recent declines in rent growth and potential risks associated with certain properties owned by the Chetrit Group. The article is generally reliable and trustworthy, as it provides data from Yardi Matrix to support its claims about rent growth and draws on insights from experts such as Marc McDevitt from CRED iQ and Paul Fiorilla from Yardi Matrix to provide additional context for readers. </w:t>
      </w:r>
    </w:p>
    <w:p>
      <w:pPr>
        <w:jc w:val="both"/>
      </w:pPr>
      <w:r>
        <w:rPr/>
        <w:t xml:space="preserve">However, there are some potential biases present in the article that should be noted. For example, while it does mention that some developers are facing pressures due to below-average occupancy levels and rising interest rates, it does not explore any potential counterarguments or other factors that could be contributing to these issues (e.g., changes in local regulations or economic conditions). Additionally, while it does note that some properties may attract investors with dry power pursuing value-add or core-plus strategies, it does not provide any evidence for this claim or explore any potential risks associated with such investments (e.g., increased competition for tenants). </w:t>
      </w:r>
    </w:p>
    <w:p>
      <w:pPr>
        <w:jc w:val="both"/>
      </w:pPr>
      <w:r>
        <w:rPr/>
        <w:t xml:space="preserve">In conclusion, while this article provides a generally reliable overview of the current state of the multifamily sector in the United States,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Multifamily rent growth trends</w:t>
      </w:r>
    </w:p>
    <w:p>
      <w:pPr>
        <w:spacing w:after="0"/>
        <w:numPr>
          <w:ilvl w:val="0"/>
          <w:numId w:val="2"/>
        </w:numPr>
      </w:pPr>
      <w:r>
        <w:rPr/>
        <w:t xml:space="preserve">Impact of local regulations on multifamily sector</w:t>
      </w:r>
    </w:p>
    <w:p>
      <w:pPr>
        <w:spacing w:after="0"/>
        <w:numPr>
          <w:ilvl w:val="0"/>
          <w:numId w:val="2"/>
        </w:numPr>
      </w:pPr>
      <w:r>
        <w:rPr/>
        <w:t xml:space="preserve">Value-add strategies in multifamily investments</w:t>
      </w:r>
    </w:p>
    <w:p>
      <w:pPr>
        <w:spacing w:after="0"/>
        <w:numPr>
          <w:ilvl w:val="0"/>
          <w:numId w:val="2"/>
        </w:numPr>
      </w:pPr>
      <w:r>
        <w:rPr/>
        <w:t xml:space="preserve">Core-plus strategies in multifamily investments</w:t>
      </w:r>
    </w:p>
    <w:p>
      <w:pPr>
        <w:spacing w:after="0"/>
        <w:numPr>
          <w:ilvl w:val="0"/>
          <w:numId w:val="2"/>
        </w:numPr>
      </w:pPr>
      <w:r>
        <w:rPr/>
        <w:t xml:space="preserve">Risks associated with multifamily investments</w:t>
      </w:r>
    </w:p>
    <w:p>
      <w:pPr>
        <w:numPr>
          <w:ilvl w:val="0"/>
          <w:numId w:val="2"/>
        </w:numPr>
      </w:pPr>
      <w:r>
        <w:rPr/>
        <w:t xml:space="preserve">Interest rate impacts on multifamily sector</w:t>
      </w:r>
    </w:p>
    <w:p>
      <w:pPr>
        <w:pStyle w:val="Heading1"/>
      </w:pPr>
      <w:bookmarkStart w:id="6" w:name="_Toc6"/>
      <w:r>
        <w:t>Report location:</w:t>
      </w:r>
      <w:bookmarkEnd w:id="6"/>
    </w:p>
    <w:p>
      <w:hyperlink r:id="rId8" w:history="1">
        <w:r>
          <w:rPr>
            <w:color w:val="2980b9"/>
            <w:u w:val="single"/>
          </w:rPr>
          <w:t xml:space="preserve">https://www.fullpicture.app/item/78cf1dd365cf6b26cd6029789831bce6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7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ercialobserver.com/2023/02/multifamily-asset-financing-2023/" TargetMode="External"/><Relationship Id="rId8" Type="http://schemas.openxmlformats.org/officeDocument/2006/relationships/hyperlink" Target="https://www.fullpicture.app/item/78cf1dd365cf6b26cd6029789831bc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2023-02-22T06:03:25+01:00</dcterms:created>
  <dcterms:modified xsi:type="dcterms:W3CDTF">2023-02-22T06:03:25+01:00</dcterms:modified>
</cp:coreProperties>
</file>

<file path=docProps/custom.xml><?xml version="1.0" encoding="utf-8"?>
<Properties xmlns="http://schemas.openxmlformats.org/officeDocument/2006/custom-properties" xmlns:vt="http://schemas.openxmlformats.org/officeDocument/2006/docPropsVTypes"/>
</file>