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immediate stay, SC issues notice to Delhi LG, Centre on ordinance petition | Latest News Delhi - Hindustan Times</w:t>
      </w:r>
      <w:br/>
      <w:hyperlink r:id="rId7" w:history="1">
        <w:r>
          <w:rPr>
            <w:color w:val="2980b9"/>
            <w:u w:val="single"/>
          </w:rPr>
          <w:t xml:space="preserve">https://www.hindustantimes.com/cities/delhi-news/supreme-court-seeks-responses-from-centre-and-lg-on-delhi-govt-s-challenge-to-ordinance-over-state-bureaucracy-control-101689013791035.html</w:t>
        </w:r>
      </w:hyperlink>
    </w:p>
    <w:p>
      <w:pPr>
        <w:pStyle w:val="Heading1"/>
      </w:pPr>
      <w:bookmarkStart w:id="2" w:name="_Toc2"/>
      <w:r>
        <w:t>Article summary:</w:t>
      </w:r>
      <w:bookmarkEnd w:id="2"/>
    </w:p>
    <w:p>
      <w:pPr>
        <w:jc w:val="both"/>
      </w:pPr>
      <w:r>
        <w:rPr/>
        <w:t xml:space="preserve">1. The Supreme Court has issued a notice to the Delhi lieutenant governor and the Centre on a petition filed by the Arvind Kejriwal government challenging an ordinance that gives the Centre control over the state bureaucracy.</w:t>
      </w:r>
    </w:p>
    <w:p>
      <w:pPr>
        <w:jc w:val="both"/>
      </w:pPr>
      <w:r>
        <w:rPr/>
        <w:t xml:space="preserve">2. The court will examine the issue next Monday and consider granting a stay on the ordinance during the next hearing on July 17.</w:t>
      </w:r>
    </w:p>
    <w:p>
      <w:pPr>
        <w:jc w:val="both"/>
      </w:pPr>
      <w:r>
        <w:rPr/>
        <w:t xml:space="preserve">3. The ordinance strengthens the position of the lieutenant governor as the final authority in deciding matters relating to transfers and postings of bureaucrats, which is being challenged by the Delhi government.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"No immediate stay, SC issues notice to Delhi LG, Centre on ordinance petition" published in Hindustan Times discusses the Supreme Court's decision to seek responses from the Union government and the lieutenant governor (LG) of Delhi on a petition filed by the Arvind Kejriwal government challenging an ordinance that gives the Centre control over the state bureaucracy.</w:t>
      </w:r>
    </w:p>
    <w:p>
      <w:pPr>
        <w:jc w:val="both"/>
      </w:pPr>
      <w:r>
        <w:rPr/>
        <w:t xml:space="preserve"/>
      </w:r>
    </w:p>
    <w:p>
      <w:pPr>
        <w:jc w:val="both"/>
      </w:pPr>
      <w:r>
        <w:rPr/>
        <w:t xml:space="preserve">Upon analysis, it is evident that the article presents a one-sided perspective by primarily focusing on the arguments put forth by the Delhi government and its advocates. The article heavily relies on statements made by senior advocate Abhishek Manu Singhvi, who represents the Delhi government, while only briefly mentioning opposing views from solicitor general Tushar Mehta and senior advocate Sanjay Jain, who represent the Centre and LG respectively.</w:t>
      </w:r>
    </w:p>
    <w:p>
      <w:pPr>
        <w:jc w:val="both"/>
      </w:pPr>
      <w:r>
        <w:rPr/>
        <w:t xml:space="preserve"/>
      </w:r>
    </w:p>
    <w:p>
      <w:pPr>
        <w:jc w:val="both"/>
      </w:pPr>
      <w:r>
        <w:rPr/>
        <w:t xml:space="preserve">The article fails to provide a balanced view of the issue at hand. It does not explore counterarguments or present evidence for claims made by either side. For example, Singhvi argues that the ordinance seeks to overturn a previous Supreme Court ruling, but no further explanation or evidence is provided to support this claim. Similarly, Mehta and Jain's arguments against granting interim relief are mentioned without any elaboration or context.</w:t>
      </w:r>
    </w:p>
    <w:p>
      <w:pPr>
        <w:jc w:val="both"/>
      </w:pPr>
      <w:r>
        <w:rPr/>
        <w:t xml:space="preserve"/>
      </w:r>
    </w:p>
    <w:p>
      <w:pPr>
        <w:jc w:val="both"/>
      </w:pPr>
      <w:r>
        <w:rPr/>
        <w:t xml:space="preserve">Furthermore, there is a lack of critical analysis regarding potential biases in the article. The author does not question or examine any possible biases in the arguments presented by Singhvi or highlight any potential biases in their statements. This omission raises concerns about impartial reporting and objective analysis.</w:t>
      </w:r>
    </w:p>
    <w:p>
      <w:pPr>
        <w:jc w:val="both"/>
      </w:pPr>
      <w:r>
        <w:rPr/>
        <w:t xml:space="preserve"/>
      </w:r>
    </w:p>
    <w:p>
      <w:pPr>
        <w:jc w:val="both"/>
      </w:pPr>
      <w:r>
        <w:rPr/>
        <w:t xml:space="preserve">Additionally, important points of consideration are missing from the article. For instance, there is no discussion about why the Centre introduced this ordinance or what its implications might be for governance in Delhi. The article also fails to mention any potential risks associated with granting complete control over civil servants to either the Centre or the state government.</w:t>
      </w:r>
    </w:p>
    <w:p>
      <w:pPr>
        <w:jc w:val="both"/>
      </w:pPr>
      <w:r>
        <w:rPr/>
        <w:t xml:space="preserve"/>
      </w:r>
    </w:p>
    <w:p>
      <w:pPr>
        <w:jc w:val="both"/>
      </w:pPr>
      <w:r>
        <w:rPr/>
        <w:t xml:space="preserve">Overall, this article lacks depth and balance in its reporting. It presents a one-sided view of an ongoing legal battle between the Centre and the Delhi government, without providing sufficient evidence or analysis to support the claims made. The article would benefit from a more comprehensive examination of the issue, including exploration of counterarguments and potential biases.</w:t>
      </w:r>
    </w:p>
    <w:p>
      <w:pPr>
        <w:pStyle w:val="Heading1"/>
      </w:pPr>
      <w:bookmarkStart w:id="5" w:name="_Toc5"/>
      <w:r>
        <w:t>Topics for further research:</w:t>
      </w:r>
      <w:bookmarkEnd w:id="5"/>
    </w:p>
    <w:p>
      <w:pPr>
        <w:spacing w:after="0"/>
        <w:numPr>
          <w:ilvl w:val="0"/>
          <w:numId w:val="2"/>
        </w:numPr>
      </w:pPr>
      <w:r>
        <w:rPr/>
        <w:t xml:space="preserve">Implications of the ordinance giving Centre control over state bureaucracy in Delhi
</w:t>
      </w:r>
    </w:p>
    <w:p>
      <w:pPr>
        <w:spacing w:after="0"/>
        <w:numPr>
          <w:ilvl w:val="0"/>
          <w:numId w:val="2"/>
        </w:numPr>
      </w:pPr>
      <w:r>
        <w:rPr/>
        <w:t xml:space="preserve">Arguments against granting complete control over civil servants to the Centre or state government
</w:t>
      </w:r>
    </w:p>
    <w:p>
      <w:pPr>
        <w:spacing w:after="0"/>
        <w:numPr>
          <w:ilvl w:val="0"/>
          <w:numId w:val="2"/>
        </w:numPr>
      </w:pPr>
      <w:r>
        <w:rPr/>
        <w:t xml:space="preserve">Previous Supreme Court ruling overturned by the ordinance
</w:t>
      </w:r>
    </w:p>
    <w:p>
      <w:pPr>
        <w:spacing w:after="0"/>
        <w:numPr>
          <w:ilvl w:val="0"/>
          <w:numId w:val="2"/>
        </w:numPr>
      </w:pPr>
      <w:r>
        <w:rPr/>
        <w:t xml:space="preserve">Biases in the arguments presented by Abhishek Manu Singhvi
</w:t>
      </w:r>
    </w:p>
    <w:p>
      <w:pPr>
        <w:spacing w:after="0"/>
        <w:numPr>
          <w:ilvl w:val="0"/>
          <w:numId w:val="2"/>
        </w:numPr>
      </w:pPr>
      <w:r>
        <w:rPr/>
        <w:t xml:space="preserve">Reasons behind the introduction of the ordinance by the Centre
</w:t>
      </w:r>
    </w:p>
    <w:p>
      <w:pPr>
        <w:numPr>
          <w:ilvl w:val="0"/>
          <w:numId w:val="2"/>
        </w:numPr>
      </w:pPr>
      <w:r>
        <w:rPr/>
        <w:t xml:space="preserve">Risks associated with granting complete control over civil servants to either the Centre or the state government in Delhi</w:t>
      </w:r>
    </w:p>
    <w:p>
      <w:pPr>
        <w:pStyle w:val="Heading1"/>
      </w:pPr>
      <w:bookmarkStart w:id="6" w:name="_Toc6"/>
      <w:r>
        <w:t>Report location:</w:t>
      </w:r>
      <w:bookmarkEnd w:id="6"/>
    </w:p>
    <w:p>
      <w:hyperlink r:id="rId8" w:history="1">
        <w:r>
          <w:rPr>
            <w:color w:val="2980b9"/>
            <w:u w:val="single"/>
          </w:rPr>
          <w:t xml:space="preserve">https://www.fullpicture.app/item/78ddce761d64f2f243ab18e2bab4b271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7F6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ustantimes.com/cities/delhi-news/supreme-court-seeks-responses-from-centre-and-lg-on-delhi-govt-s-challenge-to-ordinance-over-state-bureaucracy-control-101689013791035.html" TargetMode="External"/><Relationship Id="rId8" Type="http://schemas.openxmlformats.org/officeDocument/2006/relationships/hyperlink" Target="https://www.fullpicture.app/item/78ddce761d64f2f243ab18e2bab4b2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2024-01-09T02:27:32+01:00</dcterms:created>
  <dcterms:modified xsi:type="dcterms:W3CDTF">2024-01-09T02:27:32+01:00</dcterms:modified>
</cp:coreProperties>
</file>

<file path=docProps/custom.xml><?xml version="1.0" encoding="utf-8"?>
<Properties xmlns="http://schemas.openxmlformats.org/officeDocument/2006/custom-properties" xmlns:vt="http://schemas.openxmlformats.org/officeDocument/2006/docPropsVTypes"/>
</file>