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TREML4 receptor regulates inflammation and innate immune cell death during polymicrobial sepsis - PubMed</w:t>
      </w:r>
      <w:br/>
      <w:hyperlink r:id="rId7" w:history="1">
        <w:r>
          <w:rPr>
            <w:color w:val="2980b9"/>
            <w:u w:val="single"/>
          </w:rPr>
          <w:t xml:space="preserve">https://pubmed.ncbi.nlm.nih.gov/33020659/</w:t>
        </w:r>
      </w:hyperlink>
    </w:p>
    <w:p>
      <w:pPr>
        <w:pStyle w:val="Heading1"/>
      </w:pPr>
      <w:bookmarkStart w:id="2" w:name="_Toc2"/>
      <w:r>
        <w:t>Article summary:</w:t>
      </w:r>
      <w:bookmarkEnd w:id="2"/>
    </w:p>
    <w:p>
      <w:pPr>
        <w:jc w:val="both"/>
      </w:pPr>
      <w:r>
        <w:rPr/>
        <w:t xml:space="preserve">1. The TREML4 receptor has been identified as a key regulator of inflammation and immune cell death in sepsis.</w:t>
      </w:r>
    </w:p>
    <w:p>
      <w:pPr>
        <w:jc w:val="both"/>
      </w:pPr>
      <w:r>
        <w:rPr/>
        <w:t xml:space="preserve">2. Genetic ablation of Treml4 in mice demonstrated that TREML4 regulates calcium homeostasis, the inflammatory cytokine response, and apoptotic cell death in innate immune cells.</w:t>
      </w:r>
    </w:p>
    <w:p>
      <w:pPr>
        <w:jc w:val="both"/>
      </w:pPr>
      <w:r>
        <w:rPr/>
        <w:t xml:space="preserve">3. This leads to an overall increase in survival rate during both the acute and chronic phases of polymicrobial sepsis.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Immunology, a highly respected journal with rigorous peer-review standards. The authors have provided evidence for their claims through experiments conducted on mice, which provides support for their conclusions. Furthermore, the authors have cited relevant literature to back up their findings and provide further context for their research. </w:t>
      </w:r>
    </w:p>
    <w:p>
      <w:pPr>
        <w:jc w:val="both"/>
      </w:pPr>
      <w:r>
        <w:rPr/>
        <w:t xml:space="preserve">However, there are some potential biases that should be noted. For example, the authors do not discuss any potential risks associated with genetic ablation of Treml4 in mice or any other possible side effects that may arise from this procedure. Additionally, the article does not explore any counterarguments or present both sides equally; instead it focuses solely on the positive effects of TREML4 regulation on sepsis outcomes without considering any potential drawbacks or alternative explanations for these results. Finally, there is a lack of discussion regarding how these findings can be applied to humans; while the results are promising, more research needs to be done before they can be translated into clinical practice.</w:t>
      </w:r>
    </w:p>
    <w:p>
      <w:pPr>
        <w:pStyle w:val="Heading1"/>
      </w:pPr>
      <w:bookmarkStart w:id="5" w:name="_Toc5"/>
      <w:r>
        <w:t>Topics for further research:</w:t>
      </w:r>
      <w:bookmarkEnd w:id="5"/>
    </w:p>
    <w:p>
      <w:pPr>
        <w:spacing w:after="0"/>
        <w:numPr>
          <w:ilvl w:val="0"/>
          <w:numId w:val="2"/>
        </w:numPr>
      </w:pPr>
      <w:r>
        <w:rPr/>
        <w:t xml:space="preserve">Risks associated with genetic ablation</w:t>
      </w:r>
    </w:p>
    <w:p>
      <w:pPr>
        <w:spacing w:after="0"/>
        <w:numPr>
          <w:ilvl w:val="0"/>
          <w:numId w:val="2"/>
        </w:numPr>
      </w:pPr>
      <w:r>
        <w:rPr/>
        <w:t xml:space="preserve">Counterarguments to TREML4 regulation</w:t>
      </w:r>
    </w:p>
    <w:p>
      <w:pPr>
        <w:spacing w:after="0"/>
        <w:numPr>
          <w:ilvl w:val="0"/>
          <w:numId w:val="2"/>
        </w:numPr>
      </w:pPr>
      <w:r>
        <w:rPr/>
        <w:t xml:space="preserve">Alternative explanations for sepsis outcomes</w:t>
      </w:r>
    </w:p>
    <w:p>
      <w:pPr>
        <w:spacing w:after="0"/>
        <w:numPr>
          <w:ilvl w:val="0"/>
          <w:numId w:val="2"/>
        </w:numPr>
      </w:pPr>
      <w:r>
        <w:rPr/>
        <w:t xml:space="preserve">Potential drawbacks of TREML4 regulation</w:t>
      </w:r>
    </w:p>
    <w:p>
      <w:pPr>
        <w:spacing w:after="0"/>
        <w:numPr>
          <w:ilvl w:val="0"/>
          <w:numId w:val="2"/>
        </w:numPr>
      </w:pPr>
      <w:r>
        <w:rPr/>
        <w:t xml:space="preserve">Translating research into clinical practice</w:t>
      </w:r>
    </w:p>
    <w:p>
      <w:pPr>
        <w:numPr>
          <w:ilvl w:val="0"/>
          <w:numId w:val="2"/>
        </w:numPr>
      </w:pPr>
      <w:r>
        <w:rPr/>
        <w:t xml:space="preserve">Human applications of TREML4 regulation</w:t>
      </w:r>
    </w:p>
    <w:p>
      <w:pPr>
        <w:pStyle w:val="Heading1"/>
      </w:pPr>
      <w:bookmarkStart w:id="6" w:name="_Toc6"/>
      <w:r>
        <w:t>Report location:</w:t>
      </w:r>
      <w:bookmarkEnd w:id="6"/>
    </w:p>
    <w:p>
      <w:hyperlink r:id="rId8" w:history="1">
        <w:r>
          <w:rPr>
            <w:color w:val="2980b9"/>
            <w:u w:val="single"/>
          </w:rPr>
          <w:t xml:space="preserve">https://www.fullpicture.app/item/7943e24710e641aeb10c688a98f4ba01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3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20659/" TargetMode="External"/><Relationship Id="rId8" Type="http://schemas.openxmlformats.org/officeDocument/2006/relationships/hyperlink" Target="https://www.fullpicture.app/item/7943e24710e641aeb10c688a98f4b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2023-02-23T21:05:25+01:00</dcterms:created>
  <dcterms:modified xsi:type="dcterms:W3CDTF">2023-02-23T21:05:25+01:00</dcterms:modified>
</cp:coreProperties>
</file>

<file path=docProps/custom.xml><?xml version="1.0" encoding="utf-8"?>
<Properties xmlns="http://schemas.openxmlformats.org/officeDocument/2006/custom-properties" xmlns:vt="http://schemas.openxmlformats.org/officeDocument/2006/docPropsVTypes"/>
</file>