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【笔记】中国哲学（两汉篇）2 - 知乎</w:t>
      </w:r>
      <w:br/>
      <w:hyperlink r:id="rId7" w:history="1">
        <w:r>
          <w:rPr>
            <w:color w:val="2980b9"/>
            <w:u w:val="single"/>
          </w:rPr>
          <w:t xml:space="preserve">https://zhuanlan.zhihu.com/p/75707775</w:t>
        </w:r>
      </w:hyperlink>
    </w:p>
    <w:p>
      <w:pPr>
        <w:pStyle w:val="Heading1"/>
      </w:pPr>
      <w:bookmarkStart w:id="2" w:name="_Toc2"/>
      <w:r>
        <w:t>Article summary:</w:t>
      </w:r>
      <w:bookmarkEnd w:id="2"/>
    </w:p>
    <w:p>
      <w:pPr>
        <w:jc w:val="both"/>
      </w:pPr>
      <w:r>
        <w:rPr/>
        <w:t xml:space="preserve">1. 谶纬和《白虎通》的神学目的论在两汉时期发展成了一种系统化的神学世界观。</w:t>
      </w:r>
    </w:p>
    <w:p>
      <w:pPr>
        <w:jc w:val="both"/>
      </w:pPr>
      <w:r>
        <w:rPr/>
        <w:t xml:space="preserve">2. 谶纬是政治性预言，常被政治集团利用，与今文经学相关。</w:t>
      </w:r>
    </w:p>
    <w:p>
      <w:pPr>
        <w:jc w:val="both"/>
      </w:pPr>
      <w:r>
        <w:rPr/>
        <w:t xml:space="preserve">3. 东汉时期的《白虎通》是为了统一今文和古文的经学之争而召开的会议，其中系统化了董仲舒以来的神学观点，强调君权神授和三纲五常。</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对于谶纬和《白虎通》的偏见。作者将谶纬描述为政治集团利用的工具，但没有提供充分的证据来支持这一观点。此外，作者还将《白虎通》描述为东汉时期统一今文和古文经学之争的结果，但没有提供足够的论据来支持这一说法。</w:t>
      </w:r>
    </w:p>
    <w:p>
      <w:pPr>
        <w:jc w:val="both"/>
      </w:pPr>
      <w:r>
        <w:rPr/>
        <w:t xml:space="preserve"/>
      </w:r>
    </w:p>
    <w:p>
      <w:pPr>
        <w:jc w:val="both"/>
      </w:pPr>
      <w:r>
        <w:rPr/>
        <w:t xml:space="preserve">2. 片面报道：文章只关注了神学目的论在两汉时期的发展，并未探讨其他哲学思想流派或者其他重要议题。这种片面报道可能导致读者对中国哲学发展历程的理解不完整。</w:t>
      </w:r>
    </w:p>
    <w:p>
      <w:pPr>
        <w:jc w:val="both"/>
      </w:pPr>
      <w:r>
        <w:rPr/>
        <w:t xml:space="preserve"/>
      </w:r>
    </w:p>
    <w:p>
      <w:pPr>
        <w:jc w:val="both"/>
      </w:pPr>
      <w:r>
        <w:rPr/>
        <w:t xml:space="preserve">3. 无根据的主张：文章中提到董仲舒多少还有限制君权的思想，但并未提供相关证据来支持这一主张。缺乏具体例子或引用董仲舒著作中相关内容使得读者难以确认该主张是否准确。</w:t>
      </w:r>
    </w:p>
    <w:p>
      <w:pPr>
        <w:jc w:val="both"/>
      </w:pPr>
      <w:r>
        <w:rPr/>
        <w:t xml:space="preserve"/>
      </w:r>
    </w:p>
    <w:p>
      <w:pPr>
        <w:jc w:val="both"/>
      </w:pPr>
      <w:r>
        <w:rPr/>
        <w:t xml:space="preserve">4. 缺失的考虑点：文章未涉及到其他重要哲学家或思想流派对于神学目的论和谶纬的批评或反驳。这种缺失使得读者无法全面了解当时哲学界的辩论和争议。</w:t>
      </w:r>
    </w:p>
    <w:p>
      <w:pPr>
        <w:jc w:val="both"/>
      </w:pPr>
      <w:r>
        <w:rPr/>
        <w:t xml:space="preserve"/>
      </w:r>
    </w:p>
    <w:p>
      <w:pPr>
        <w:jc w:val="both"/>
      </w:pPr>
      <w:r>
        <w:rPr/>
        <w:t xml:space="preserve">5. 所提出主张的缺失证据：文章中提到谶纬成为两汉时期流行的思想，但未提供具体例子或引用相关文献来支持这一观点。缺乏实证数据使得读者难以确认该主张的准确性。</w:t>
      </w:r>
    </w:p>
    <w:p>
      <w:pPr>
        <w:jc w:val="both"/>
      </w:pPr>
      <w:r>
        <w:rPr/>
        <w:t xml:space="preserve"/>
      </w:r>
    </w:p>
    <w:p>
      <w:pPr>
        <w:jc w:val="both"/>
      </w:pPr>
      <w:r>
        <w:rPr/>
        <w:t xml:space="preserve">6. 未探索的反驳：文章中未涉及对于神学目的论和谶纬的批评或反驳观点。这种未探索可能导致读者对于这些思想的全面理解受限。</w:t>
      </w:r>
    </w:p>
    <w:p>
      <w:pPr>
        <w:jc w:val="both"/>
      </w:pPr>
      <w:r>
        <w:rPr/>
        <w:t xml:space="preserve"/>
      </w:r>
    </w:p>
    <w:p>
      <w:pPr>
        <w:jc w:val="both"/>
      </w:pPr>
      <w:r>
        <w:rPr/>
        <w:t xml:space="preserve">7. 宣传内容：文章中存在对于今文经学和《白虎通》的宣传倾向。作者将今文经学描述为大一统体制初创和挽救清朝衰亡的手段，但没有提供充分证据来支持这一说法。此外，作者将《白虎通》描述为东汉时期统一经学之争结果，并没有平等地呈现双方观点。</w:t>
      </w:r>
    </w:p>
    <w:p>
      <w:pPr>
        <w:jc w:val="both"/>
      </w:pPr>
      <w:r>
        <w:rPr/>
        <w:t xml:space="preserve"/>
      </w:r>
    </w:p>
    <w:p>
      <w:pPr>
        <w:jc w:val="both"/>
      </w:pPr>
      <w:r>
        <w:rPr/>
        <w:t xml:space="preserve">综上所述，上述文章存在偏见、片面报道、无根据的主张、缺失考虑点、所提出主张缺乏证据、未探索反驳以及宣传内容等问题。读者在阅读该文章时应保持批判思维，并寻求更多来源以获得全面和客观的信息。</w:t>
      </w:r>
    </w:p>
    <w:p>
      <w:pPr>
        <w:pStyle w:val="Heading1"/>
      </w:pPr>
      <w:bookmarkStart w:id="5" w:name="_Toc5"/>
      <w:r>
        <w:t>Topics for further research:</w:t>
      </w:r>
      <w:bookmarkEnd w:id="5"/>
    </w:p>
    <w:p>
      <w:pPr>
        <w:spacing w:after="0"/>
        <w:numPr>
          <w:ilvl w:val="0"/>
          <w:numId w:val="2"/>
        </w:numPr>
      </w:pPr>
      <w:r>
        <w:rPr/>
        <w:t xml:space="preserve">谶纬的政治利用证据
</w:t>
      </w:r>
    </w:p>
    <w:p>
      <w:pPr>
        <w:spacing w:after="0"/>
        <w:numPr>
          <w:ilvl w:val="0"/>
          <w:numId w:val="2"/>
        </w:numPr>
      </w:pPr>
      <w:r>
        <w:rPr/>
        <w:t xml:space="preserve">《白虎通》的统一经学之争证据
</w:t>
      </w:r>
    </w:p>
    <w:p>
      <w:pPr>
        <w:spacing w:after="0"/>
        <w:numPr>
          <w:ilvl w:val="0"/>
          <w:numId w:val="2"/>
        </w:numPr>
      </w:pPr>
      <w:r>
        <w:rPr/>
        <w:t xml:space="preserve">董仲舒限制君权的思想例子
</w:t>
      </w:r>
    </w:p>
    <w:p>
      <w:pPr>
        <w:spacing w:after="0"/>
        <w:numPr>
          <w:ilvl w:val="0"/>
          <w:numId w:val="2"/>
        </w:numPr>
      </w:pPr>
      <w:r>
        <w:rPr/>
        <w:t xml:space="preserve">其他哲学家对神学目的论和谶纬的批评或反驳
</w:t>
      </w:r>
    </w:p>
    <w:p>
      <w:pPr>
        <w:spacing w:after="0"/>
        <w:numPr>
          <w:ilvl w:val="0"/>
          <w:numId w:val="2"/>
        </w:numPr>
      </w:pPr>
      <w:r>
        <w:rPr/>
        <w:t xml:space="preserve">谶纬在两汉时期的流行例子或相关文献引用
</w:t>
      </w:r>
    </w:p>
    <w:p>
      <w:pPr>
        <w:numPr>
          <w:ilvl w:val="0"/>
          <w:numId w:val="2"/>
        </w:numPr>
      </w:pPr>
      <w:r>
        <w:rPr/>
        <w:t xml:space="preserve">神学目的论和谶纬的批评或反驳观点</w:t>
      </w:r>
    </w:p>
    <w:p>
      <w:pPr>
        <w:pStyle w:val="Heading1"/>
      </w:pPr>
      <w:bookmarkStart w:id="6" w:name="_Toc6"/>
      <w:r>
        <w:t>Report location:</w:t>
      </w:r>
      <w:bookmarkEnd w:id="6"/>
    </w:p>
    <w:p>
      <w:hyperlink r:id="rId8" w:history="1">
        <w:r>
          <w:rPr>
            <w:color w:val="2980b9"/>
            <w:u w:val="single"/>
          </w:rPr>
          <w:t xml:space="preserve">https://www.fullpicture.app/item/7a1db05b9fed3e5d1b814b6760495e19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D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75707775" TargetMode="External"/><Relationship Id="rId8" Type="http://schemas.openxmlformats.org/officeDocument/2006/relationships/hyperlink" Target="https://www.fullpicture.app/item/7a1db05b9fed3e5d1b814b6760495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2023-12-04T08:13:32+01:00</dcterms:created>
  <dcterms:modified xsi:type="dcterms:W3CDTF">2023-12-04T08:13:32+01:00</dcterms:modified>
</cp:coreProperties>
</file>

<file path=docProps/custom.xml><?xml version="1.0" encoding="utf-8"?>
<Properties xmlns="http://schemas.openxmlformats.org/officeDocument/2006/custom-properties" xmlns:vt="http://schemas.openxmlformats.org/officeDocument/2006/docPropsVTypes"/>
</file>