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Implementing international law: capacity-building, coordination and control in: Cambridge International Law Journal Volume 12 Issue 1 (2023)</w:t>
      </w:r>
      <w:br/>
      <w:hyperlink r:id="rId7" w:history="1">
        <w:r>
          <w:rPr>
            <w:color w:val="2980b9"/>
            <w:u w:val="single"/>
          </w:rPr>
          <w:t xml:space="preserve">https://www.elgaronline.com/view/journals/cilj/12/1/article-p4.xml</w:t>
        </w:r>
      </w:hyperlink>
    </w:p>
    <w:p>
      <w:pPr>
        <w:pStyle w:val="Heading1"/>
      </w:pPr>
      <w:bookmarkStart w:id="2" w:name="_Toc2"/>
      <w:r>
        <w:t>Article summary:</w:t>
      </w:r>
      <w:bookmarkEnd w:id="2"/>
    </w:p>
    <w:p>
      <w:pPr>
        <w:jc w:val="both"/>
      </w:pPr>
      <w:r>
        <w:rPr/>
        <w:t xml:space="preserve">1. The training of State officials in international law is crucial due to the complexity and overlapping nature of multiple treaties, as well as disparities in resources between States.</w:t>
      </w:r>
    </w:p>
    <w:p>
      <w:pPr>
        <w:jc w:val="both"/>
      </w:pPr>
      <w:r>
        <w:rPr/>
        <w:t xml:space="preserve">2. The digital era has revolutionized training programs, with the emergence of e-learning methods and online courses offered by international organizations such as the United Nations and World Bank.</w:t>
      </w:r>
    </w:p>
    <w:p>
      <w:pPr>
        <w:jc w:val="both"/>
      </w:pPr>
      <w:r>
        <w:rPr/>
        <w:t xml:space="preserve">3. Capacity-building and technical assistance in law and governance are essential for States to meet their obligations, and these efforts require coordination between international organizations and addressing conflicts between different legal regimes.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"Implementing international law: capacity-building, coordination and control" discusses the importance of training State officials in international law and the challenges they face in understanding and implementing complex obligations. While the article raises valid points about the need for capacity-building and technical assistance, there are several potential biases and missing points of consideration that should be critically analyzed.</w:t>
      </w:r>
    </w:p>
    <w:p>
      <w:pPr>
        <w:jc w:val="both"/>
      </w:pPr>
      <w:r>
        <w:rPr/>
        <w:t xml:space="preserve"/>
      </w:r>
    </w:p>
    <w:p>
      <w:pPr>
        <w:jc w:val="both"/>
      </w:pPr>
      <w:r>
        <w:rPr/>
        <w:t xml:space="preserve">One potential bias in the article is its focus on developing countries as recipients of capacity-building and technical assistance. The author repeatedly mentions the disparities in resources between developed and developing countries, suggesting that these imbalances are a primary factor hindering the implementation of international law. While it is true that resource disparities can pose challenges, it is important to recognize that capacity-building needs exist across all countries, regardless of their development status. By solely focusing on developing countries, the article may overlook capacity-building needs in other contexts.</w:t>
      </w:r>
    </w:p>
    <w:p>
      <w:pPr>
        <w:jc w:val="both"/>
      </w:pPr>
      <w:r>
        <w:rPr/>
        <w:t xml:space="preserve"/>
      </w:r>
    </w:p>
    <w:p>
      <w:pPr>
        <w:jc w:val="both"/>
      </w:pPr>
      <w:r>
        <w:rPr/>
        <w:t xml:space="preserve">Additionally, the article presents a one-sided view of the benefits of e-learning and digital technologies in training programs. It highlights the availability of online courses offered by international organizations as a positive development, but fails to acknowledge potential limitations or drawbacks. For example, e-learning may not be accessible to individuals without reliable internet access or computer literacy skills. Furthermore, online courses may lack interactive elements or personalized instruction that can enhance learning outcomes. By not exploring these potential limitations, the article presents an incomplete picture of e-learning's effectiveness.</w:t>
      </w:r>
    </w:p>
    <w:p>
      <w:pPr>
        <w:jc w:val="both"/>
      </w:pPr>
      <w:r>
        <w:rPr/>
        <w:t xml:space="preserve"/>
      </w:r>
    </w:p>
    <w:p>
      <w:pPr>
        <w:jc w:val="both"/>
      </w:pPr>
      <w:r>
        <w:rPr/>
        <w:t xml:space="preserve">The article also makes unsupported claims about the impact of training programs on compliance with international law obligations. It suggests that building capacity through training programs helps States meet their obligations but does not provide evidence or examples to support this claim. Without empirical data or case studies demonstrating a causal relationship between training programs and compliance, this assertion remains speculative.</w:t>
      </w:r>
    </w:p>
    <w:p>
      <w:pPr>
        <w:jc w:val="both"/>
      </w:pPr>
      <w:r>
        <w:rPr/>
        <w:t xml:space="preserve"/>
      </w:r>
    </w:p>
    <w:p>
      <w:pPr>
        <w:jc w:val="both"/>
      </w:pPr>
      <w:r>
        <w:rPr/>
        <w:t xml:space="preserve">Furthermore, there are unexplored counterarguments regarding the effectiveness of training programs in addressing gaps in knowledge and implementation of international law. The article assumes that increasing knowledge through training will lead to better implementation outcomes but does not consider other factors that may contribute to non-compliance, such as political will, institutional barriers, or conflicting priorities. By not acknowledging these potential challenges, the article oversimplifies the complex nature of implementing international law.</w:t>
      </w:r>
    </w:p>
    <w:p>
      <w:pPr>
        <w:jc w:val="both"/>
      </w:pPr>
      <w:r>
        <w:rPr/>
        <w:t xml:space="preserve"/>
      </w:r>
    </w:p>
    <w:p>
      <w:pPr>
        <w:jc w:val="both"/>
      </w:pPr>
      <w:r>
        <w:rPr/>
        <w:t xml:space="preserve">The article also exhibits promotional content by highlighting specific training programs and initiatives without providing a balanced assessment of their effectiveness. For example, it mentions the United Nations' online courses and the French model of climate change education as innovative approaches to capacity-building but does not critically evaluate their impact or address any potential criticisms. This promotional tone undermines the objectivity of the article and raises questions about its impartiality.</w:t>
      </w:r>
    </w:p>
    <w:p>
      <w:pPr>
        <w:jc w:val="both"/>
      </w:pPr>
      <w:r>
        <w:rPr/>
        <w:t xml:space="preserve"/>
      </w:r>
    </w:p>
    <w:p>
      <w:pPr>
        <w:jc w:val="both"/>
      </w:pPr>
      <w:r>
        <w:rPr/>
        <w:t xml:space="preserve">In conclusion, while the article raises important points about the need for capacity-building and technical assistance in implementing international law, it exhibits biases, unsupported claims, missing evidence, unexplored counterarguments, and promotional content. A more critical analysis would require considering a broader range of perspectives and addressing potential limitations and challenges associated with training programs.</w:t>
      </w:r>
    </w:p>
    <w:p>
      <w:pPr>
        <w:pStyle w:val="Heading1"/>
      </w:pPr>
      <w:bookmarkStart w:id="5" w:name="_Toc5"/>
      <w:r>
        <w:t>Topics for further research:</w:t>
      </w:r>
      <w:bookmarkEnd w:id="5"/>
    </w:p>
    <w:p>
      <w:pPr>
        <w:spacing w:after="0"/>
        <w:numPr>
          <w:ilvl w:val="0"/>
          <w:numId w:val="2"/>
        </w:numPr>
      </w:pPr>
      <w:r>
        <w:rPr/>
        <w:t xml:space="preserve">Critiques of e-learning in capacity-building programs
</w:t>
      </w:r>
    </w:p>
    <w:p>
      <w:pPr>
        <w:spacing w:after="0"/>
        <w:numPr>
          <w:ilvl w:val="0"/>
          <w:numId w:val="2"/>
        </w:numPr>
      </w:pPr>
      <w:r>
        <w:rPr/>
        <w:t xml:space="preserve">Challenges in implementing international law beyond resource disparities
</w:t>
      </w:r>
    </w:p>
    <w:p>
      <w:pPr>
        <w:spacing w:after="0"/>
        <w:numPr>
          <w:ilvl w:val="0"/>
          <w:numId w:val="2"/>
        </w:numPr>
      </w:pPr>
      <w:r>
        <w:rPr/>
        <w:t xml:space="preserve">Factors influencing compliance with international law obligations
</w:t>
      </w:r>
    </w:p>
    <w:p>
      <w:pPr>
        <w:spacing w:after="0"/>
        <w:numPr>
          <w:ilvl w:val="0"/>
          <w:numId w:val="2"/>
        </w:numPr>
      </w:pPr>
      <w:r>
        <w:rPr/>
        <w:t xml:space="preserve">Limitations of online courses in enhancing learning outcomes
</w:t>
      </w:r>
    </w:p>
    <w:p>
      <w:pPr>
        <w:spacing w:after="0"/>
        <w:numPr>
          <w:ilvl w:val="0"/>
          <w:numId w:val="2"/>
        </w:numPr>
      </w:pPr>
      <w:r>
        <w:rPr/>
        <w:t xml:space="preserve">Institutional barriers to implementing international law
</w:t>
      </w:r>
    </w:p>
    <w:p>
      <w:pPr>
        <w:numPr>
          <w:ilvl w:val="0"/>
          <w:numId w:val="2"/>
        </w:numPr>
      </w:pPr>
      <w:r>
        <w:rPr/>
        <w:t xml:space="preserve">Criticisms of specific training programs and initiatives</w:t>
      </w:r>
    </w:p>
    <w:p>
      <w:pPr>
        <w:pStyle w:val="Heading1"/>
      </w:pPr>
      <w:bookmarkStart w:id="6" w:name="_Toc6"/>
      <w:r>
        <w:t>Report location:</w:t>
      </w:r>
      <w:bookmarkEnd w:id="6"/>
    </w:p>
    <w:p>
      <w:hyperlink r:id="rId8" w:history="1">
        <w:r>
          <w:rPr>
            <w:color w:val="2980b9"/>
            <w:u w:val="single"/>
          </w:rPr>
          <w:t xml:space="preserve">https://www.fullpicture.app/item/7a58d2a5868bdfa1167ef6ea80e47f0c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3F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garonline.com/view/journals/cilj/12/1/article-p4.xml" TargetMode="External"/><Relationship Id="rId8" Type="http://schemas.openxmlformats.org/officeDocument/2006/relationships/hyperlink" Target="https://www.fullpicture.app/item/7a58d2a5868bdfa1167ef6ea80e47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2024-01-16T22:58:39+01:00</dcterms:created>
  <dcterms:modified xsi:type="dcterms:W3CDTF">2024-01-16T22:58:39+01:00</dcterms:modified>
</cp:coreProperties>
</file>

<file path=docProps/custom.xml><?xml version="1.0" encoding="utf-8"?>
<Properties xmlns="http://schemas.openxmlformats.org/officeDocument/2006/custom-properties" xmlns:vt="http://schemas.openxmlformats.org/officeDocument/2006/docPropsVTypes"/>
</file>