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MiFID II on sell-side analysts, buy-side analysts, and firms | Review of Accounting Studies</w:t>
      </w:r>
      <w:br/>
      <w:hyperlink r:id="rId7" w:history="1">
        <w:r>
          <w:rPr>
            <w:color w:val="2980b9"/>
            <w:u w:val="single"/>
          </w:rPr>
          <w:t xml:space="preserve">https://link.springer.com/article/10.1007/s11142-020-09545-w</w:t>
        </w:r>
      </w:hyperlink>
    </w:p>
    <w:p>
      <w:pPr>
        <w:pStyle w:val="Heading1"/>
      </w:pPr>
      <w:bookmarkStart w:id="2" w:name="_Toc2"/>
      <w:r>
        <w:t>Article summary:</w:t>
      </w:r>
      <w:bookmarkEnd w:id="2"/>
    </w:p>
    <w:p>
      <w:pPr>
        <w:jc w:val="both"/>
      </w:pPr>
      <w:r>
        <w:rPr/>
        <w:t xml:space="preserve">1. MiFID II要求投资公司将投资研究与其他费用分开，导致欧洲公司的卖方分析师数量减少，尤其是对于不那么重要的公司。</w:t>
      </w:r>
    </w:p>
    <w:p>
      <w:pPr>
        <w:jc w:val="both"/>
      </w:pPr>
      <w:r>
        <w:rPr/>
        <w:t xml:space="preserve">2. 研究质量有所提高，个别分析师的预测更加准确，股票推荐获得更大市场反应。</w:t>
      </w:r>
    </w:p>
    <w:p>
      <w:pPr>
        <w:jc w:val="both"/>
      </w:pPr>
      <w:r>
        <w:rPr/>
        <w:t xml:space="preserve">3. 买方投资公司在MiFID II实施后更多依赖内部研究，并且买方分析师在盈利电话会议中的参与度增加。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这篇文章对MiFID II对卖方分析师、买方分析师和公司的影响进行了初步但广泛的实证研究。然而，文章存在一些潜在的偏见和局限性。</w:t>
      </w:r>
    </w:p>
    <w:p>
      <w:pPr>
        <w:jc w:val="both"/>
      </w:pPr>
      <w:r>
        <w:rPr/>
        <w:t xml:space="preserve"/>
      </w:r>
    </w:p>
    <w:p>
      <w:pPr>
        <w:jc w:val="both"/>
      </w:pPr>
      <w:r>
        <w:rPr/>
        <w:t xml:space="preserve">首先，文章可能存在片面报道的问题。虽然文章指出MiFID II导致欧洲公司被覆盖的卖方分析师数量减少，但并未深入探讨这种变化可能对市场参与者和投资者产生的具体影响。此外，文章没有提及可能存在的其他因素或政策措施对结果产生影响的可能性。</w:t>
      </w:r>
    </w:p>
    <w:p>
      <w:pPr>
        <w:jc w:val="both"/>
      </w:pPr>
      <w:r>
        <w:rPr/>
        <w:t xml:space="preserve"/>
      </w:r>
    </w:p>
    <w:p>
      <w:pPr>
        <w:jc w:val="both"/>
      </w:pPr>
      <w:r>
        <w:rPr/>
        <w:t xml:space="preserve">其次，文章在某些主张上缺乏充分依据。例如，虽然文章声称研究质量有所提高，但并未提供足够的数据或方法来支持这一观点。缺乏详细的数据分析和解释可能使读者难以理解结论是如何得出的。</w:t>
      </w:r>
    </w:p>
    <w:p>
      <w:pPr>
        <w:jc w:val="both"/>
      </w:pPr>
      <w:r>
        <w:rPr/>
        <w:t xml:space="preserve"/>
      </w:r>
    </w:p>
    <w:p>
      <w:pPr>
        <w:jc w:val="both"/>
      </w:pPr>
      <w:r>
        <w:rPr/>
        <w:t xml:space="preserve">此外，文章似乎忽略了一些重要考虑因素。例如，在讨论买方分析师转向更多内部研究之后，是否考虑到这种转变可能会导致信息获取不足或信息不对称问题？是否考虑到这种转变可能会增加投资风险？</w:t>
      </w:r>
    </w:p>
    <w:p>
      <w:pPr>
        <w:jc w:val="both"/>
      </w:pPr>
      <w:r>
        <w:rPr/>
        <w:t xml:space="preserve"/>
      </w:r>
    </w:p>
    <w:p>
      <w:pPr>
        <w:jc w:val="both"/>
      </w:pPr>
      <w:r>
        <w:rPr/>
        <w:t xml:space="preserve">最后，文章未能平等地呈现双方观点。尽管提到了卖方和买方分析师在MiFID II实施后采取的行动，但并未深入探讨他们之间可能存在的冲突或合作关系。平衡地呈现双方观点可以使读者更全面地理解整个情况。</w:t>
      </w:r>
    </w:p>
    <w:p>
      <w:pPr>
        <w:jc w:val="both"/>
      </w:pPr>
      <w:r>
        <w:rPr/>
        <w:t xml:space="preserve"/>
      </w:r>
    </w:p>
    <w:p>
      <w:pPr>
        <w:jc w:val="both"/>
      </w:pPr>
      <w:r>
        <w:rPr/>
        <w:t xml:space="preserve">综上所述，尽管这篇文章提供了有价值的初步实证证据，但仍需进一步完善其研究设计和数据解释，并注意避免潜在偏见和片面报道问题。同时应该更全面地考虑各种因素，并平等地呈现双方观点以确保客观性和准确性。</w:t>
      </w:r>
    </w:p>
    <w:p>
      <w:pPr>
        <w:pStyle w:val="Heading1"/>
      </w:pPr>
      <w:bookmarkStart w:id="5" w:name="_Toc5"/>
      <w:r>
        <w:t>Topics for further research:</w:t>
      </w:r>
      <w:bookmarkEnd w:id="5"/>
    </w:p>
    <w:p>
      <w:pPr>
        <w:spacing w:after="0"/>
        <w:numPr>
          <w:ilvl w:val="0"/>
          <w:numId w:val="2"/>
        </w:numPr>
      </w:pPr>
      <w:r>
        <w:rPr/>
        <w:t xml:space="preserve">MiFID II对市场参与者和投资者的影响
</w:t>
      </w:r>
    </w:p>
    <w:p>
      <w:pPr>
        <w:spacing w:after="0"/>
        <w:numPr>
          <w:ilvl w:val="0"/>
          <w:numId w:val="2"/>
        </w:numPr>
      </w:pPr>
      <w:r>
        <w:rPr/>
        <w:t xml:space="preserve">其他可能影响结果的因素或政策措施
</w:t>
      </w:r>
    </w:p>
    <w:p>
      <w:pPr>
        <w:spacing w:after="0"/>
        <w:numPr>
          <w:ilvl w:val="0"/>
          <w:numId w:val="2"/>
        </w:numPr>
      </w:pPr>
      <w:r>
        <w:rPr/>
        <w:t xml:space="preserve">研究质量提高的具体数据和方法支持
</w:t>
      </w:r>
    </w:p>
    <w:p>
      <w:pPr>
        <w:spacing w:after="0"/>
        <w:numPr>
          <w:ilvl w:val="0"/>
          <w:numId w:val="2"/>
        </w:numPr>
      </w:pPr>
      <w:r>
        <w:rPr/>
        <w:t xml:space="preserve">买方分析师转向内部研究可能带来的信息获取和投资风险问题
</w:t>
      </w:r>
    </w:p>
    <w:p>
      <w:pPr>
        <w:spacing w:after="0"/>
        <w:numPr>
          <w:ilvl w:val="0"/>
          <w:numId w:val="2"/>
        </w:numPr>
      </w:pPr>
      <w:r>
        <w:rPr/>
        <w:t xml:space="preserve">卖方和买方分析师之间的冲突或合作关系
</w:t>
      </w:r>
    </w:p>
    <w:p>
      <w:pPr>
        <w:numPr>
          <w:ilvl w:val="0"/>
          <w:numId w:val="2"/>
        </w:numPr>
      </w:pPr>
      <w:r>
        <w:rPr/>
        <w:t xml:space="preserve">平等呈现双方观点的重要性和影响</w:t>
      </w:r>
    </w:p>
    <w:p>
      <w:pPr>
        <w:pStyle w:val="Heading1"/>
      </w:pPr>
      <w:bookmarkStart w:id="6" w:name="_Toc6"/>
      <w:r>
        <w:t>Report location:</w:t>
      </w:r>
      <w:bookmarkEnd w:id="6"/>
    </w:p>
    <w:p>
      <w:hyperlink r:id="rId8" w:history="1">
        <w:r>
          <w:rPr>
            <w:color w:val="2980b9"/>
            <w:u w:val="single"/>
          </w:rPr>
          <w:t xml:space="preserve">https://www.fullpicture.app/item/7aba789d6099a047f2da81a30f158f88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5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42-020-09545-w" TargetMode="External"/><Relationship Id="rId8" Type="http://schemas.openxmlformats.org/officeDocument/2006/relationships/hyperlink" Target="https://www.fullpicture.app/item/7aba789d6099a047f2da81a30f158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2024-07-19T09:04:26+02:00</dcterms:created>
  <dcterms:modified xsi:type="dcterms:W3CDTF">2024-07-19T09:04:26+02:00</dcterms:modified>
</cp:coreProperties>
</file>

<file path=docProps/custom.xml><?xml version="1.0" encoding="utf-8"?>
<Properties xmlns="http://schemas.openxmlformats.org/officeDocument/2006/custom-properties" xmlns:vt="http://schemas.openxmlformats.org/officeDocument/2006/docPropsVTypes"/>
</file>