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we predict T cell specificity with digital biology and machine learning? | Nature Reviews Immunology</w:t>
      </w:r>
      <w:br/>
      <w:hyperlink r:id="rId7" w:history="1">
        <w:r>
          <w:rPr>
            <w:color w:val="2980b9"/>
            <w:u w:val="single"/>
          </w:rPr>
          <w:t xml:space="preserve">https://www.nature.com/articles/s41577-023-00835-3</w:t>
        </w:r>
      </w:hyperlink>
    </w:p>
    <w:p>
      <w:pPr>
        <w:pStyle w:val="Heading1"/>
      </w:pPr>
      <w:bookmarkStart w:id="2" w:name="_Toc2"/>
      <w:r>
        <w:t>Article summary:</w:t>
      </w:r>
      <w:bookmarkEnd w:id="2"/>
    </w:p>
    <w:p>
      <w:pPr>
        <w:jc w:val="both"/>
      </w:pPr>
      <w:r>
        <w:rPr/>
        <w:t xml:space="preserve">1. T cells recognize antigens presented on members of the MHC protein family via highly diverse heterodimeric T cell receptors (TCRs).</w:t>
      </w:r>
    </w:p>
    <w:p>
      <w:pPr>
        <w:jc w:val="both"/>
      </w:pPr>
      <w:r>
        <w:rPr/>
        <w:t xml:space="preserve">2. Machine learning models have been used to predict the antigen specificity of orphan TCRs with no known experimentally validated cognate antigen.</w:t>
      </w:r>
    </w:p>
    <w:p>
      <w:pPr>
        <w:jc w:val="both"/>
      </w:pPr>
      <w:r>
        <w:rPr/>
        <w:t xml:space="preserve">3. There is a distinction between predicting TCR specificity and antigen immunogenicity, and there is still a gap in predicting T cell activation for a given peptide.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“Can we predict T cell specificity with digital biology and machine learning?” provides an overview of the current state of research into predicting TCR–antigen interactions using machine learning models. The article is well-written and provides a comprehensive overview of the current state of research in this field, as well as discussing potential future directions for research.</w:t>
      </w:r>
    </w:p>
    <w:p>
      <w:pPr>
        <w:jc w:val="both"/>
      </w:pPr>
      <w:r>
        <w:rPr/>
        <w:t xml:space="preserve">The article does not appear to be biased or one-sided, as it presents both sides of the argument fairly and objectively. It also does not appear to contain any promotional content or partiality towards any particular viewpoint or approach.</w:t>
      </w:r>
    </w:p>
    <w:p>
      <w:pPr>
        <w:jc w:val="both"/>
      </w:pPr>
      <w:r>
        <w:rPr/>
        <w:t xml:space="preserve">The article does not appear to contain any unsupported claims or missing points of consideration, as it provides evidence for all its claims and discusses potential limitations in detail. It also does not appear to contain any unexplored counterarguments, as it discusses potential limitations in detail and acknowledges that further research is needed in order to make accurate predictions for unseen epitopes.</w:t>
      </w:r>
    </w:p>
    <w:p>
      <w:pPr>
        <w:jc w:val="both"/>
      </w:pPr>
      <w:r>
        <w:rPr/>
        <w:t xml:space="preserve">The article does note possible risks associated with machine learning models, such as bias towards certain types of data sets or overfitting due to limited data availability. However, it could have discussed these risks in more detail by providing examples from existing studies that demonstrate how these risks can manifest themselves in practice. </w:t>
      </w:r>
    </w:p>
    <w:p>
      <w:pPr>
        <w:jc w:val="both"/>
      </w:pPr>
      <w:r>
        <w:rPr/>
        <w:t xml:space="preserve">In conclusion, this article appears to be trustworthy and reliable overall, providing an objective overview of the current state of research into predicting TCR–antigen interactions using machine learning models without promoting any particular viewpoint or approach.</w:t>
      </w:r>
    </w:p>
    <w:p>
      <w:pPr>
        <w:pStyle w:val="Heading1"/>
      </w:pPr>
      <w:bookmarkStart w:id="5" w:name="_Toc5"/>
      <w:r>
        <w:t>Topics for further research:</w:t>
      </w:r>
      <w:bookmarkEnd w:id="5"/>
    </w:p>
    <w:p>
      <w:pPr>
        <w:spacing w:after="0"/>
        <w:numPr>
          <w:ilvl w:val="0"/>
          <w:numId w:val="2"/>
        </w:numPr>
      </w:pPr>
      <w:r>
        <w:rPr/>
        <w:t xml:space="preserve">Machine learning bias</w:t>
      </w:r>
    </w:p>
    <w:p>
      <w:pPr>
        <w:spacing w:after="0"/>
        <w:numPr>
          <w:ilvl w:val="0"/>
          <w:numId w:val="2"/>
        </w:numPr>
      </w:pPr>
      <w:r>
        <w:rPr/>
        <w:t xml:space="preserve">T cell specificity prediction</w:t>
      </w:r>
    </w:p>
    <w:p>
      <w:pPr>
        <w:spacing w:after="0"/>
        <w:numPr>
          <w:ilvl w:val="0"/>
          <w:numId w:val="2"/>
        </w:numPr>
      </w:pPr>
      <w:r>
        <w:rPr/>
        <w:t xml:space="preserve">Overfitting in machine learning</w:t>
      </w:r>
    </w:p>
    <w:p>
      <w:pPr>
        <w:spacing w:after="0"/>
        <w:numPr>
          <w:ilvl w:val="0"/>
          <w:numId w:val="2"/>
        </w:numPr>
      </w:pPr>
      <w:r>
        <w:rPr/>
        <w:t xml:space="preserve">TCR–antigen interactions</w:t>
      </w:r>
    </w:p>
    <w:p>
      <w:pPr>
        <w:spacing w:after="0"/>
        <w:numPr>
          <w:ilvl w:val="0"/>
          <w:numId w:val="2"/>
        </w:numPr>
      </w:pPr>
      <w:r>
        <w:rPr/>
        <w:t xml:space="preserve">Digital biology applications</w:t>
      </w:r>
    </w:p>
    <w:p>
      <w:pPr>
        <w:numPr>
          <w:ilvl w:val="0"/>
          <w:numId w:val="2"/>
        </w:numPr>
      </w:pPr>
      <w:r>
        <w:rPr/>
        <w:t xml:space="preserve">Machine learning models for epitope prediction</w:t>
      </w:r>
    </w:p>
    <w:p>
      <w:pPr>
        <w:pStyle w:val="Heading1"/>
      </w:pPr>
      <w:bookmarkStart w:id="6" w:name="_Toc6"/>
      <w:r>
        <w:t>Report location:</w:t>
      </w:r>
      <w:bookmarkEnd w:id="6"/>
    </w:p>
    <w:p>
      <w:hyperlink r:id="rId8" w:history="1">
        <w:r>
          <w:rPr>
            <w:color w:val="2980b9"/>
            <w:u w:val="single"/>
          </w:rPr>
          <w:t xml:space="preserve">https://www.fullpicture.app/item/7b540d174007b04d8ab8ace7d91f6ff4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5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7-023-00835-3" TargetMode="External"/><Relationship Id="rId8" Type="http://schemas.openxmlformats.org/officeDocument/2006/relationships/hyperlink" Target="https://www.fullpicture.app/item/7b540d174007b04d8ab8ace7d91f6f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2023-02-26T08:44:54+01:00</dcterms:created>
  <dcterms:modified xsi:type="dcterms:W3CDTF">2023-02-26T08:44:54+01:00</dcterms:modified>
</cp:coreProperties>
</file>

<file path=docProps/custom.xml><?xml version="1.0" encoding="utf-8"?>
<Properties xmlns="http://schemas.openxmlformats.org/officeDocument/2006/custom-properties" xmlns:vt="http://schemas.openxmlformats.org/officeDocument/2006/docPropsVTypes"/>
</file>