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broadban-tunable photonic bandgap and thermally convertible laser with an ultra-low lasing threshold from a refilled chiral polymer template - Journal of Materials Chemistry C (RSC Publishing)</w:t>
      </w:r>
      <w:br/>
      <w:hyperlink r:id="rId7" w:history="1">
        <w:r>
          <w:rPr>
            <w:color w:val="2980b9"/>
            <w:u w:val="single"/>
          </w:rPr>
          <w:t xml:space="preserve">https://pubs.rsc.org/en/content/articlelanding/2019/TC/C9TC00194H</w:t>
        </w:r>
      </w:hyperlink>
    </w:p>
    <w:p>
      <w:pPr>
        <w:pStyle w:val="Heading1"/>
      </w:pPr>
      <w:bookmarkStart w:id="2" w:name="_Toc2"/>
      <w:r>
        <w:t>Article summary:</w:t>
      </w:r>
      <w:bookmarkEnd w:id="2"/>
    </w:p>
    <w:p>
      <w:pPr>
        <w:jc w:val="both"/>
      </w:pPr>
      <w:r>
        <w:rPr/>
        <w:t xml:space="preserve">1. This study demonstrates a broadband-tunable photonic bandgap (PBG) and thermally convertible laser with an ultra-low lasing threshold based on a gradient-pitched cholesteric liquid crystal (CLC) polymer template.</w:t>
      </w:r>
    </w:p>
    <w:p>
      <w:pPr>
        <w:jc w:val="both"/>
      </w:pPr>
      <w:r>
        <w:rPr/>
        <w:t xml:space="preserve">2. The CLC template technique has the potential to realize the fabrication of CW LC tunable lasers, which is the most challenging issue for future commercialization.</w:t>
      </w:r>
    </w:p>
    <w:p>
      <w:pPr>
        <w:jc w:val="both"/>
      </w:pPr>
      <w:r>
        <w:rPr/>
        <w:t xml:space="preserve">3. The sample can be refined so as to possess superior properties such as linear spatial tunability and an ultra-low lasing threshold of ∼16 nJ per pulse, making it suitable for photonics and display applications.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overview of a new type of laser device based on a gradient-pitched cholesteric liquid crystal (CLC) polymer template, which is capable of providing broadband tunability and thermal convertibility with an ultra-low lasing threshold. The authors provide evidence for their claims through experimental results, which demonstrate that the PBG can be spatially tuned over the entire visible region and that the lasing is convertible thermally between single-mode and multi-mode for the DDLC-refilled CLC template sample. Furthermore, they also discuss how their sample can be refined to possess superior properties such as linear spatial tunability and an ultra-low lasing threshold of ∼16 nJ per pulse, making it suitable for photonics and display applications.</w:t>
      </w:r>
    </w:p>
    <w:p>
      <w:pPr>
        <w:jc w:val="both"/>
      </w:pPr>
      <w:r>
        <w:rPr/>
        <w:t xml:space="preserve">The article appears to be reliable in terms of its content; however, there are some potential biases that should be noted. Firstly, there is no discussion or mention of any possible risks associated with this technology or its applications; thus, readers may not be aware of any potential dangers associated with using this device. Secondly, while the authors do provide evidence for their claims through experimental results, they do not explore any counterarguments or alternative points of view regarding their research findings; thus, readers may not have access to all available information about this topic. Finally, while the authors do discuss some potential applications for this device in photonics and displays, they do not provide any details about how these applications could benefit society or what impact they could have on people’s lives; thus, readers may not understand why this technology is important or why it should be developed further.</w:t>
      </w:r>
    </w:p>
    <w:p>
      <w:pPr>
        <w:pStyle w:val="Heading1"/>
      </w:pPr>
      <w:bookmarkStart w:id="5" w:name="_Toc5"/>
      <w:r>
        <w:t>Topics for further research:</w:t>
      </w:r>
      <w:bookmarkEnd w:id="5"/>
    </w:p>
    <w:p>
      <w:pPr>
        <w:spacing w:after="0"/>
        <w:numPr>
          <w:ilvl w:val="0"/>
          <w:numId w:val="2"/>
        </w:numPr>
      </w:pPr>
      <w:r>
        <w:rPr/>
        <w:t xml:space="preserve">Risks associated with gradient-pitched cholesteric liquid crystal</w:t>
      </w:r>
    </w:p>
    <w:p>
      <w:pPr>
        <w:spacing w:after="0"/>
        <w:numPr>
          <w:ilvl w:val="0"/>
          <w:numId w:val="2"/>
        </w:numPr>
      </w:pPr>
      <w:r>
        <w:rPr/>
        <w:t xml:space="preserve">Counterarguments regarding gradient-pitched cholesteric liquid crystal</w:t>
      </w:r>
    </w:p>
    <w:p>
      <w:pPr>
        <w:spacing w:after="0"/>
        <w:numPr>
          <w:ilvl w:val="0"/>
          <w:numId w:val="2"/>
        </w:numPr>
      </w:pPr>
      <w:r>
        <w:rPr/>
        <w:t xml:space="preserve">Benefits of gradient-pitched cholesteric liquid crystal applications</w:t>
      </w:r>
    </w:p>
    <w:p>
      <w:pPr>
        <w:spacing w:after="0"/>
        <w:numPr>
          <w:ilvl w:val="0"/>
          <w:numId w:val="2"/>
        </w:numPr>
      </w:pPr>
      <w:r>
        <w:rPr/>
        <w:t xml:space="preserve">Impact of gradient-pitched cholesteric liquid crystal on society</w:t>
      </w:r>
    </w:p>
    <w:p>
      <w:pPr>
        <w:spacing w:after="0"/>
        <w:numPr>
          <w:ilvl w:val="0"/>
          <w:numId w:val="2"/>
        </w:numPr>
      </w:pPr>
      <w:r>
        <w:rPr/>
        <w:t xml:space="preserve">Linear spatial tunability of gradient-pitched cholesteric liquid crystal</w:t>
      </w:r>
    </w:p>
    <w:p>
      <w:pPr>
        <w:numPr>
          <w:ilvl w:val="0"/>
          <w:numId w:val="2"/>
        </w:numPr>
      </w:pPr>
      <w:r>
        <w:rPr/>
        <w:t xml:space="preserve">Ultra-low lasing threshold of gradient-pitched cholesteric liquid crystal</w:t>
      </w:r>
    </w:p>
    <w:p>
      <w:pPr>
        <w:pStyle w:val="Heading1"/>
      </w:pPr>
      <w:bookmarkStart w:id="6" w:name="_Toc6"/>
      <w:r>
        <w:t>Report location:</w:t>
      </w:r>
      <w:bookmarkEnd w:id="6"/>
    </w:p>
    <w:p>
      <w:hyperlink r:id="rId8" w:history="1">
        <w:r>
          <w:rPr>
            <w:color w:val="2980b9"/>
            <w:u w:val="single"/>
          </w:rPr>
          <w:t xml:space="preserve">https://www.fullpicture.app/item/7c2e637c94da7fdc1fcc78c876cc4dbc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54B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19/TC/C9TC00194H" TargetMode="External"/><Relationship Id="rId8" Type="http://schemas.openxmlformats.org/officeDocument/2006/relationships/hyperlink" Target="https://www.fullpicture.app/item/7c2e637c94da7fdc1fcc78c876cc4d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2023-02-20T08:30:29+01:00</dcterms:created>
  <dcterms:modified xsi:type="dcterms:W3CDTF">2023-02-20T08:30:29+01:00</dcterms:modified>
</cp:coreProperties>
</file>

<file path=docProps/custom.xml><?xml version="1.0" encoding="utf-8"?>
<Properties xmlns="http://schemas.openxmlformats.org/officeDocument/2006/custom-properties" xmlns:vt="http://schemas.openxmlformats.org/officeDocument/2006/docPropsVTypes"/>
</file>