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tradeoff between enterovirus A71 particle stability and cell entry | Nature Communications</w:t>
      </w:r>
      <w:br/>
      <w:hyperlink r:id="rId7" w:history="1">
        <w:r>
          <w:rPr>
            <w:color w:val="2980b9"/>
            <w:u w:val="single"/>
          </w:rPr>
          <w:t xml:space="preserve">https://www.nature.com/articles/s41467-023-43029-0</w:t>
        </w:r>
      </w:hyperlink>
    </w:p>
    <w:p>
      <w:pPr>
        <w:pStyle w:val="Heading1"/>
      </w:pPr>
      <w:bookmarkStart w:id="2" w:name="_Toc2"/>
      <w:r>
        <w:t>Article summary:</w:t>
      </w:r>
      <w:bookmarkEnd w:id="2"/>
    </w:p>
    <w:p>
      <w:pPr>
        <w:jc w:val="both"/>
      </w:pPr>
      <w:r>
        <w:rPr/>
        <w:t xml:space="preserve">1. Proteins in virus particles, such as enterovirus A71 (EV-A71), need to maintain stability while evading detection and degradation within the infected organism.</w:t>
      </w:r>
    </w:p>
    <w:p>
      <w:pPr>
        <w:jc w:val="both"/>
      </w:pPr>
      <w:r>
        <w:rPr/>
        <w:t xml:space="preserve">2. Researchers isolated thermostable variants of EV-A71 through genetic experiments and identified a single amino acid substitution, K162E, responsible for particle thermostability.</w:t>
      </w:r>
    </w:p>
    <w:p>
      <w:pPr>
        <w:jc w:val="both"/>
      </w:pPr>
      <w:r>
        <w:rPr/>
        <w:t xml:space="preserve">3. The thermostable variant showed reduced efficiency in cell entry but increased neurovirulence in an animal model, suggesting that capsid conformation plays a role in tissue tropism and pathogenesis.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tradeoff between enterovirus A71 particle stability and cell entry" published in Nature Communications discusses the relationship between particle stability and infectivity of Enterovirus A71 (EV-A71). The authors conducted a genetic experiment to isolate thermostable variants of EV-A71 and examined their biophysical properties and infectivity. While the study provides valuable insights into the virus's behavior, there are several potential biases and limitations that need to be considered.</w:t>
      </w:r>
    </w:p>
    <w:p>
      <w:pPr>
        <w:jc w:val="both"/>
      </w:pPr>
      <w:r>
        <w:rPr/>
        <w:t xml:space="preserve"/>
      </w:r>
    </w:p>
    <w:p>
      <w:pPr>
        <w:jc w:val="both"/>
      </w:pPr>
      <w:r>
        <w:rPr/>
        <w:t xml:space="preserve">One potential bias in the article is the focus on thermostability as a measure of particle stability. The authors selected for thermostable variants by subjecting virus populations to high temperatures during serial passages. However, it is important to note that thermal stability may not be the only factor determining particle stability or infectivity. Other factors such as pH sensitivity, receptor binding affinity, and membrane fusion capacity could also play a role in virus entry and infection.</w:t>
      </w:r>
    </w:p>
    <w:p>
      <w:pPr>
        <w:jc w:val="both"/>
      </w:pPr>
      <w:r>
        <w:rPr/>
        <w:t xml:space="preserve"/>
      </w:r>
    </w:p>
    <w:p>
      <w:pPr>
        <w:jc w:val="both"/>
      </w:pPr>
      <w:r>
        <w:rPr/>
        <w:t xml:space="preserve">Another limitation of the study is the use of cell culture-based experiments to assess infectivity. While cell culture models provide valuable insights into virus behavior, they may not fully represent the complexity of viral infection in vivo. Animal models or clinical studies would provide more comprehensive data on the relationship between particle stability and pathogenesis.</w:t>
      </w:r>
    </w:p>
    <w:p>
      <w:pPr>
        <w:jc w:val="both"/>
      </w:pPr>
      <w:r>
        <w:rPr/>
        <w:t xml:space="preserve"/>
      </w:r>
    </w:p>
    <w:p>
      <w:pPr>
        <w:jc w:val="both"/>
      </w:pPr>
      <w:r>
        <w:rPr/>
        <w:t xml:space="preserve">The article also lacks a discussion on potential risks associated with thermostable variants of EV-A71. While increased particle stability may confer resistance to environmental conditions, it could also lead to prolonged persistence in the environment or enhanced transmission between hosts. These factors could contribute to increased disease burden or outbreaks.</w:t>
      </w:r>
    </w:p>
    <w:p>
      <w:pPr>
        <w:jc w:val="both"/>
      </w:pPr>
      <w:r>
        <w:rPr/>
        <w:t xml:space="preserve"/>
      </w:r>
    </w:p>
    <w:p>
      <w:pPr>
        <w:jc w:val="both"/>
      </w:pPr>
      <w:r>
        <w:rPr/>
        <w:t xml:space="preserve">Additionally, the article does not explore counterarguments or alternative explanations for the observed results. It would be beneficial to discuss other factors that could influence particle stability and infectivity, such as host immune responses or viral replication kinetics.</w:t>
      </w:r>
    </w:p>
    <w:p>
      <w:pPr>
        <w:jc w:val="both"/>
      </w:pPr>
      <w:r>
        <w:rPr/>
        <w:t xml:space="preserve"/>
      </w:r>
    </w:p>
    <w:p>
      <w:pPr>
        <w:jc w:val="both"/>
      </w:pPr>
      <w:r>
        <w:rPr/>
        <w:t xml:space="preserve">Furthermore, there is limited discussion on the broader implications of these findings for vaccine development or antiviral strategies. Understanding how changes in particle stability affect infectivity could have important implications for designing effective vaccines or antiviral drugs targeting EV-A71.</w:t>
      </w:r>
    </w:p>
    <w:p>
      <w:pPr>
        <w:jc w:val="both"/>
      </w:pPr>
      <w:r>
        <w:rPr/>
        <w:t xml:space="preserve"/>
      </w:r>
    </w:p>
    <w:p>
      <w:pPr>
        <w:jc w:val="both"/>
      </w:pPr>
      <w:r>
        <w:rPr/>
        <w:t xml:space="preserve">Overall, while the article provides valuable insights into the relationship between particle stability and infectivity of EV-A71, there are potential biases and limitations that need to be considered. Further research is needed to fully understand the complex interplay between particle stability, infectivity, and pathogenesis of EV-A71.</w:t>
      </w:r>
    </w:p>
    <w:p>
      <w:pPr>
        <w:pStyle w:val="Heading1"/>
      </w:pPr>
      <w:bookmarkStart w:id="5" w:name="_Toc5"/>
      <w:r>
        <w:t>Topics for further research:</w:t>
      </w:r>
      <w:bookmarkEnd w:id="5"/>
    </w:p>
    <w:p>
      <w:pPr>
        <w:spacing w:after="0"/>
        <w:numPr>
          <w:ilvl w:val="0"/>
          <w:numId w:val="2"/>
        </w:numPr>
      </w:pPr>
      <w:r>
        <w:rPr/>
        <w:t xml:space="preserve">Factors influencing enterovirus A71 particle stability and infectivity
</w:t>
      </w:r>
    </w:p>
    <w:p>
      <w:pPr>
        <w:spacing w:after="0"/>
        <w:numPr>
          <w:ilvl w:val="0"/>
          <w:numId w:val="2"/>
        </w:numPr>
      </w:pPr>
      <w:r>
        <w:rPr/>
        <w:t xml:space="preserve">Role of pH sensitivity</w:t>
      </w:r>
    </w:p>
    <w:p>
      <w:pPr>
        <w:spacing w:after="0"/>
        <w:numPr>
          <w:ilvl w:val="0"/>
          <w:numId w:val="2"/>
        </w:numPr>
      </w:pPr>
      <w:r>
        <w:rPr/>
        <w:t xml:space="preserve">receptor binding affinity</w:t>
      </w:r>
    </w:p>
    <w:p>
      <w:pPr>
        <w:spacing w:after="0"/>
        <w:numPr>
          <w:ilvl w:val="0"/>
          <w:numId w:val="2"/>
        </w:numPr>
      </w:pPr>
      <w:r>
        <w:rPr/>
        <w:t xml:space="preserve">and membrane fusion capacity in enterovirus A71 entry and infection
</w:t>
      </w:r>
    </w:p>
    <w:p>
      <w:pPr>
        <w:spacing w:after="0"/>
        <w:numPr>
          <w:ilvl w:val="0"/>
          <w:numId w:val="2"/>
        </w:numPr>
      </w:pPr>
      <w:r>
        <w:rPr/>
        <w:t xml:space="preserve">Animal models or clinical studies on enterovirus A71 pathogenesis and particle stability
</w:t>
      </w:r>
    </w:p>
    <w:p>
      <w:pPr>
        <w:spacing w:after="0"/>
        <w:numPr>
          <w:ilvl w:val="0"/>
          <w:numId w:val="2"/>
        </w:numPr>
      </w:pPr>
      <w:r>
        <w:rPr/>
        <w:t xml:space="preserve">Risks associated with thermostable variants of enterovirus A71
</w:t>
      </w:r>
    </w:p>
    <w:p>
      <w:pPr>
        <w:spacing w:after="0"/>
        <w:numPr>
          <w:ilvl w:val="0"/>
          <w:numId w:val="2"/>
        </w:numPr>
      </w:pPr>
      <w:r>
        <w:rPr/>
        <w:t xml:space="preserve">Alternative explanations for the relationship between particle stability and infectivity of enterovirus A71
</w:t>
      </w:r>
    </w:p>
    <w:p>
      <w:pPr>
        <w:numPr>
          <w:ilvl w:val="0"/>
          <w:numId w:val="2"/>
        </w:numPr>
      </w:pPr>
      <w:r>
        <w:rPr/>
        <w:t xml:space="preserve">Implications of particle stability on enterovirus A71 vaccine development and antiviral strategies</w:t>
      </w:r>
    </w:p>
    <w:p>
      <w:pPr>
        <w:pStyle w:val="Heading1"/>
      </w:pPr>
      <w:bookmarkStart w:id="6" w:name="_Toc6"/>
      <w:r>
        <w:t>Report location:</w:t>
      </w:r>
      <w:bookmarkEnd w:id="6"/>
    </w:p>
    <w:p>
      <w:hyperlink r:id="rId8" w:history="1">
        <w:r>
          <w:rPr>
            <w:color w:val="2980b9"/>
            <w:u w:val="single"/>
          </w:rPr>
          <w:t xml:space="preserve">https://www.fullpicture.app/item/7de39b6226bce91991b7216d98dfb56c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C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43029-0" TargetMode="External"/><Relationship Id="rId8" Type="http://schemas.openxmlformats.org/officeDocument/2006/relationships/hyperlink" Target="https://www.fullpicture.app/item/7de39b6226bce91991b7216d98dfb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2024-04-13T13:54:09+02:00</dcterms:created>
  <dcterms:modified xsi:type="dcterms:W3CDTF">2024-04-13T13:54:09+02:00</dcterms:modified>
</cp:coreProperties>
</file>

<file path=docProps/custom.xml><?xml version="1.0" encoding="utf-8"?>
<Properties xmlns="http://schemas.openxmlformats.org/officeDocument/2006/custom-properties" xmlns:vt="http://schemas.openxmlformats.org/officeDocument/2006/docPropsVTypes"/>
</file>