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Legitimacy Of Children Under Muslim And Hindu Laws In India</w:t>
      </w:r>
      <w:br/>
      <w:hyperlink r:id="rId7" w:history="1">
        <w:r>
          <w:rPr>
            <w:color w:val="2980b9"/>
            <w:u w:val="single"/>
          </w:rPr>
          <w:t xml:space="preserve">https://www.lawyersclubindia.com/articles/legitimacy-of-children-under-muslim-and-hindu-laws-in-india-14762.asp</w:t>
        </w:r>
      </w:hyperlink>
    </w:p>
    <w:p>
      <w:pPr>
        <w:pStyle w:val="Heading1"/>
      </w:pPr>
      <w:bookmarkStart w:id="2" w:name="_Toc2"/>
      <w:r>
        <w:t>Article summary:</w:t>
      </w:r>
      <w:bookmarkEnd w:id="2"/>
    </w:p>
    <w:p>
      <w:pPr>
        <w:jc w:val="both"/>
      </w:pPr>
      <w:r>
        <w:rPr/>
        <w:t xml:space="preserve">1. Legitimacy of children under Muslim and Hindu laws in India is based on the proof of marriage between the parents, with acknowledgement as a son being crucial for legitimacy.</w:t>
      </w:r>
    </w:p>
    <w:p>
      <w:pPr>
        <w:jc w:val="both"/>
      </w:pPr>
      <w:r>
        <w:rPr/>
        <w:t xml:space="preserve"/>
      </w:r>
    </w:p>
    <w:p>
      <w:pPr>
        <w:jc w:val="both"/>
      </w:pPr>
      <w:r>
        <w:rPr/>
        <w:t xml:space="preserve">2. Illegitimate children under Muslim law do not have natural guardians, maintenance rights are limited, and they have no inheritance rights.</w:t>
      </w:r>
    </w:p>
    <w:p>
      <w:pPr>
        <w:jc w:val="both"/>
      </w:pPr>
      <w:r>
        <w:rPr/>
        <w:t xml:space="preserve"/>
      </w:r>
    </w:p>
    <w:p>
      <w:pPr>
        <w:jc w:val="both"/>
      </w:pPr>
      <w:r>
        <w:rPr/>
        <w:t xml:space="preserve">3. The rights of illegitimate children are discriminatory and limited, leading to societal stigmatization and lack of access to various privileges granted to legitimate children.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legitimacy of children under Muslim and Hindu laws in India. It covers various aspects such as guardianship, maintenance, inheritance rights, and case laws related to the topic. However, there are several points that need critical analysis.</w:t>
      </w:r>
    </w:p>
    <w:p>
      <w:pPr>
        <w:jc w:val="both"/>
      </w:pPr>
      <w:r>
        <w:rPr/>
        <w:t xml:space="preserve"/>
      </w:r>
    </w:p>
    <w:p>
      <w:pPr>
        <w:jc w:val="both"/>
      </w:pPr>
      <w:r>
        <w:rPr/>
        <w:t xml:space="preserve">One potential bias in the article is the lack of exploration of counterarguments or alternative perspectives. The article predominantly focuses on the limitations and discrimination faced by illegitimate children under Muslim and Hindu laws, without delving into any potential justifications or reasoning behind these laws. This one-sided reporting may lead to a skewed understanding of the issue.</w:t>
      </w:r>
    </w:p>
    <w:p>
      <w:pPr>
        <w:jc w:val="both"/>
      </w:pPr>
      <w:r>
        <w:rPr/>
        <w:t xml:space="preserve"/>
      </w:r>
    </w:p>
    <w:p>
      <w:pPr>
        <w:jc w:val="both"/>
      </w:pPr>
      <w:r>
        <w:rPr/>
        <w:t xml:space="preserve">Additionally, some claims made in the article lack sufficient evidence or sources to support them. For example, when discussing maintenance rights for illegitimate children under Muslim law, the article mentions Section 125 of the Criminal Procedure Code but does not provide specific details or references to back up this claim. Providing more concrete evidence would strengthen the credibility of the arguments presented.</w:t>
      </w:r>
    </w:p>
    <w:p>
      <w:pPr>
        <w:jc w:val="both"/>
      </w:pPr>
      <w:r>
        <w:rPr/>
        <w:t xml:space="preserve"/>
      </w:r>
    </w:p>
    <w:p>
      <w:pPr>
        <w:jc w:val="both"/>
      </w:pPr>
      <w:r>
        <w:rPr/>
        <w:t xml:space="preserve">Furthermore, there are missing points of consideration in the article. For instance, it does not address how societal attitudes and cultural norms contribute to the discrimination against illegitimate children. Exploring these factors could provide a more holistic understanding of the issue.</w:t>
      </w:r>
    </w:p>
    <w:p>
      <w:pPr>
        <w:jc w:val="both"/>
      </w:pPr>
      <w:r>
        <w:rPr/>
        <w:t xml:space="preserve"/>
      </w:r>
    </w:p>
    <w:p>
      <w:pPr>
        <w:jc w:val="both"/>
      </w:pPr>
      <w:r>
        <w:rPr/>
        <w:t xml:space="preserve">The article also lacks a discussion on potential risks or implications of changing these laws regarding legitimacy of children. While advocating for equal rights for all children is important, it is essential to consider any unintended consequences or challenges that may arise from altering existing legal frameworks.</w:t>
      </w:r>
    </w:p>
    <w:p>
      <w:pPr>
        <w:jc w:val="both"/>
      </w:pPr>
      <w:r>
        <w:rPr/>
        <w:t xml:space="preserve"/>
      </w:r>
    </w:p>
    <w:p>
      <w:pPr>
        <w:jc w:val="both"/>
      </w:pPr>
      <w:r>
        <w:rPr/>
        <w:t xml:space="preserve">Moreover, there is a sense of partiality in the way certain aspects are presented in the article. For example, while discussing inheritance rights under Hindu law for children born out of void marriages, it highlights their recognition as legitimate without acknowledging any potential drawbacks or criticisms associated with this provision.</w:t>
      </w:r>
    </w:p>
    <w:p>
      <w:pPr>
        <w:jc w:val="both"/>
      </w:pPr>
      <w:r>
        <w:rPr/>
        <w:t xml:space="preserve"/>
      </w:r>
    </w:p>
    <w:p>
      <w:pPr>
        <w:jc w:val="both"/>
      </w:pPr>
      <w:r>
        <w:rPr/>
        <w:t xml:space="preserve">In conclusion, while the article provides valuable insights into the legitimacy of children under Muslim and Hindu laws in India, there are areas that require further critical analysis and exploration. By addressing biases, providing balanced perspectives, supporting claims with evidence, considering all relevant factors, and presenting both sides equally, a more nuanced understanding of this complex issue can be achieved.</w:t>
      </w:r>
    </w:p>
    <w:p>
      <w:pPr>
        <w:pStyle w:val="Heading1"/>
      </w:pPr>
      <w:bookmarkStart w:id="5" w:name="_Toc5"/>
      <w:r>
        <w:t>Topics for further research:</w:t>
      </w:r>
      <w:bookmarkEnd w:id="5"/>
    </w:p>
    <w:p>
      <w:pPr>
        <w:spacing w:after="0"/>
        <w:numPr>
          <w:ilvl w:val="0"/>
          <w:numId w:val="2"/>
        </w:numPr>
      </w:pPr>
      <w:r>
        <w:rPr/>
        <w:t xml:space="preserve">Societal attitudes towards illegitimate children in India
</w:t>
      </w:r>
    </w:p>
    <w:p>
      <w:pPr>
        <w:spacing w:after="0"/>
        <w:numPr>
          <w:ilvl w:val="0"/>
          <w:numId w:val="2"/>
        </w:numPr>
      </w:pPr>
      <w:r>
        <w:rPr/>
        <w:t xml:space="preserve">Justifications for discrimination against illegitimate children in Hindu law
</w:t>
      </w:r>
    </w:p>
    <w:p>
      <w:pPr>
        <w:spacing w:after="0"/>
        <w:numPr>
          <w:ilvl w:val="0"/>
          <w:numId w:val="2"/>
        </w:numPr>
      </w:pPr>
      <w:r>
        <w:rPr/>
        <w:t xml:space="preserve">Implications of changing laws on legitimacy of children in India
</w:t>
      </w:r>
    </w:p>
    <w:p>
      <w:pPr>
        <w:spacing w:after="0"/>
        <w:numPr>
          <w:ilvl w:val="0"/>
          <w:numId w:val="2"/>
        </w:numPr>
      </w:pPr>
      <w:r>
        <w:rPr/>
        <w:t xml:space="preserve">Criticisms of inheritance rights for children born out of void marriages under Hindu law
</w:t>
      </w:r>
    </w:p>
    <w:p>
      <w:pPr>
        <w:spacing w:after="0"/>
        <w:numPr>
          <w:ilvl w:val="0"/>
          <w:numId w:val="2"/>
        </w:numPr>
      </w:pPr>
      <w:r>
        <w:rPr/>
        <w:t xml:space="preserve">Cultural norms and their impact on the status of illegitimate children in India
</w:t>
      </w:r>
    </w:p>
    <w:p>
      <w:pPr>
        <w:numPr>
          <w:ilvl w:val="0"/>
          <w:numId w:val="2"/>
        </w:numPr>
      </w:pPr>
      <w:r>
        <w:rPr/>
        <w:t xml:space="preserve">Legal challenges faced by illegitimate children in India</w:t>
      </w:r>
    </w:p>
    <w:p>
      <w:pPr>
        <w:pStyle w:val="Heading1"/>
      </w:pPr>
      <w:bookmarkStart w:id="6" w:name="_Toc6"/>
      <w:r>
        <w:t>Report location:</w:t>
      </w:r>
      <w:bookmarkEnd w:id="6"/>
    </w:p>
    <w:p>
      <w:hyperlink r:id="rId8" w:history="1">
        <w:r>
          <w:rPr>
            <w:color w:val="2980b9"/>
            <w:u w:val="single"/>
          </w:rPr>
          <w:t xml:space="preserve">https://www.fullpicture.app/item/800a485d07f1014ca119e3628dc371a6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31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wyersclubindia.com/articles/legitimacy-of-children-under-muslim-and-hindu-laws-in-india-14762.asp" TargetMode="External"/><Relationship Id="rId8" Type="http://schemas.openxmlformats.org/officeDocument/2006/relationships/hyperlink" Target="https://www.fullpicture.app/item/800a485d07f1014ca119e3628dc371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2024-06-07T13:48:58+02:00</dcterms:created>
  <dcterms:modified xsi:type="dcterms:W3CDTF">2024-06-07T13:48:58+02:00</dcterms:modified>
</cp:coreProperties>
</file>

<file path=docProps/custom.xml><?xml version="1.0" encoding="utf-8"?>
<Properties xmlns="http://schemas.openxmlformats.org/officeDocument/2006/custom-properties" xmlns:vt="http://schemas.openxmlformats.org/officeDocument/2006/docPropsVTypes"/>
</file>