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Guide 5256 - Présenter une demande de visa de visiteur (visa de résident temporaire) - Canada.ca</w:t>
      </w:r>
      <w:br/>
      <w:hyperlink r:id="rId7" w:history="1">
        <w:r>
          <w:rPr>
            <w:color w:val="2980b9"/>
            <w:u w:val="single"/>
          </w:rPr>
          <w:t xml:space="preserve">https://www.canada.ca/fr/immigration-refugies-citoyennete/services/demande/formulaires-demande-guides/guide-5256-presenter-demande-visa-visiteur-visa-resident-temporaire.html</w:t>
        </w:r>
      </w:hyperlink>
    </w:p>
    <w:p>
      <w:pPr>
        <w:pStyle w:val="Heading1"/>
      </w:pPr>
      <w:bookmarkStart w:id="2" w:name="_Toc2"/>
      <w:r>
        <w:t>Article summary:</w:t>
      </w:r>
      <w:bookmarkEnd w:id="2"/>
    </w:p>
    <w:p>
      <w:pPr>
        <w:jc w:val="both"/>
      </w:pPr>
      <w:r>
        <w:rPr/>
        <w:t xml:space="preserve">1. Ce guide explique comment présenter une demande de visa de visiteur, de transit ou de super visa pour entrer temporairement au Canada.</w:t>
      </w:r>
    </w:p>
    <w:p>
      <w:pPr>
        <w:jc w:val="both"/>
      </w:pPr>
      <w:r>
        <w:rPr/>
        <w:t xml:space="preserve">2. Les visiteurs doivent remplir certaines conditions pour obtenir un visa de résident temporaire, telles que démontrer qu'ils quitteront le Canada à la fin de leur séjour et avoir suffisamment d'argent pour subvenir à leurs besoins.</w:t>
      </w:r>
    </w:p>
    <w:p>
      <w:pPr>
        <w:jc w:val="both"/>
      </w:pPr>
      <w:r>
        <w:rPr/>
        <w:t xml:space="preserve">3. Si la résidence permanente a déjà été accordée, les demandeurs doivent présenter une demande de titre de voyage ou renoncer volontairement à leur statut de résident permanent pour obtenir un VRT.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un guide pratique pour les personnes qui souhaitent présenter une demande de visa de visiteur, de transit ou de super visa pour le Canada. Il fournit des informations détaillées sur les documents nécessaires, le processus de demande et les frais associés. Le guide est organisé en étapes claires et comprend des liens vers des ressources supplémentaires.</w:t>
      </w:r>
    </w:p>
    <w:p>
      <w:pPr>
        <w:jc w:val="both"/>
      </w:pPr>
      <w:r>
        <w:rPr/>
        <w:t xml:space="preserve"/>
      </w:r>
    </w:p>
    <w:p>
      <w:pPr>
        <w:jc w:val="both"/>
      </w:pPr>
      <w:r>
        <w:rPr/>
        <w:t xml:space="preserve">Cependant, l'article ne fournit pas d'informations sur les raisons pour lesquelles une demande pourrait être refusée ou sur les critères utilisés pour évaluer l'admissibilité. Il ne mentionne pas non plus les délais de traitement ou la possibilité de faire appel d'une décision défavorable.</w:t>
      </w:r>
    </w:p>
    <w:p>
      <w:pPr>
        <w:jc w:val="both"/>
      </w:pPr>
      <w:r>
        <w:rPr/>
        <w:t xml:space="preserve"/>
      </w:r>
    </w:p>
    <w:p>
      <w:pPr>
        <w:jc w:val="both"/>
      </w:pPr>
      <w:r>
        <w:rPr/>
        <w:t xml:space="preserve">Le guide semble être impartial dans son contenu et ne contient pas de contenu promotionnel. Cependant, il est important de noter que le site Web du gouvernement canadien peut avoir ses propres biais institutionnels et politiques qui peuvent influencer la manière dont l'information est présentée.</w:t>
      </w:r>
    </w:p>
    <w:p>
      <w:pPr>
        <w:jc w:val="both"/>
      </w:pPr>
      <w:r>
        <w:rPr/>
        <w:t xml:space="preserve"/>
      </w:r>
    </w:p>
    <w:p>
      <w:pPr>
        <w:jc w:val="both"/>
      </w:pPr>
      <w:r>
        <w:rPr/>
        <w:t xml:space="preserve">Dans l'ensemble, cet article est utile pour ceux qui cherchent à présenter une demande de visa pour le Canada, mais il convient également d'examiner d'autres sources d'information pour obtenir une image complète du processus et des critères d'admissibilité.</w:t>
      </w:r>
    </w:p>
    <w:p>
      <w:pPr>
        <w:pStyle w:val="Heading1"/>
      </w:pPr>
      <w:bookmarkStart w:id="5" w:name="_Toc5"/>
      <w:r>
        <w:t>Topics for further research:</w:t>
      </w:r>
      <w:bookmarkEnd w:id="5"/>
    </w:p>
    <w:p>
      <w:pPr>
        <w:spacing w:after="0"/>
        <w:numPr>
          <w:ilvl w:val="0"/>
          <w:numId w:val="2"/>
        </w:numPr>
      </w:pPr>
      <w:r>
        <w:rPr/>
        <w:t xml:space="preserve">Critères d'admissibilité pour les visas de visiteur</w:t>
      </w:r>
    </w:p>
    <w:p>
      <w:pPr>
        <w:spacing w:after="0"/>
        <w:numPr>
          <w:ilvl w:val="0"/>
          <w:numId w:val="2"/>
        </w:numPr>
      </w:pPr>
      <w:r>
        <w:rPr/>
        <w:t xml:space="preserve">de transit et de super visa pour le Canada
</w:t>
      </w:r>
    </w:p>
    <w:p>
      <w:pPr>
        <w:spacing w:after="0"/>
        <w:numPr>
          <w:ilvl w:val="0"/>
          <w:numId w:val="2"/>
        </w:numPr>
      </w:pPr>
      <w:r>
        <w:rPr/>
        <w:t xml:space="preserve">Raisons pour lesquelles une demande de visa pour le Canada pourrait être refusée
</w:t>
      </w:r>
    </w:p>
    <w:p>
      <w:pPr>
        <w:spacing w:after="0"/>
        <w:numPr>
          <w:ilvl w:val="0"/>
          <w:numId w:val="2"/>
        </w:numPr>
      </w:pPr>
      <w:r>
        <w:rPr/>
        <w:t xml:space="preserve">Délais de traitement pour les demandes de visa pour le Canada
</w:t>
      </w:r>
    </w:p>
    <w:p>
      <w:pPr>
        <w:spacing w:after="0"/>
        <w:numPr>
          <w:ilvl w:val="0"/>
          <w:numId w:val="2"/>
        </w:numPr>
      </w:pPr>
      <w:r>
        <w:rPr/>
        <w:t xml:space="preserve">Possibilité de faire appel d'une décision défavorable pour une demande de visa pour le Canada
</w:t>
      </w:r>
    </w:p>
    <w:p>
      <w:pPr>
        <w:spacing w:after="0"/>
        <w:numPr>
          <w:ilvl w:val="0"/>
          <w:numId w:val="2"/>
        </w:numPr>
      </w:pPr>
      <w:r>
        <w:rPr/>
        <w:t xml:space="preserve">Biais institutionnels et politiques dans l'information fournie sur le site Web du gouvernement canadien
</w:t>
      </w:r>
    </w:p>
    <w:p>
      <w:pPr>
        <w:numPr>
          <w:ilvl w:val="0"/>
          <w:numId w:val="2"/>
        </w:numPr>
      </w:pPr>
      <w:r>
        <w:rPr/>
        <w:t xml:space="preserve">Autres sources d'information pour obtenir une image complète du processus de demande de visa pour le Canada.</w:t>
      </w:r>
    </w:p>
    <w:p>
      <w:pPr>
        <w:pStyle w:val="Heading1"/>
      </w:pPr>
      <w:bookmarkStart w:id="6" w:name="_Toc6"/>
      <w:r>
        <w:t>Report location:</w:t>
      </w:r>
      <w:bookmarkEnd w:id="6"/>
    </w:p>
    <w:p>
      <w:hyperlink r:id="rId8" w:history="1">
        <w:r>
          <w:rPr>
            <w:color w:val="2980b9"/>
            <w:u w:val="single"/>
          </w:rPr>
          <w:t xml:space="preserve">https://www.fullpicture.app/item/80ce25cb1575432bf98120cd71ea57ea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00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ada.ca/fr/immigration-refugies-citoyennete/services/demande/formulaires-demande-guides/guide-5256-presenter-demande-visa-visiteur-visa-resident-temporaire.html" TargetMode="External"/><Relationship Id="rId8" Type="http://schemas.openxmlformats.org/officeDocument/2006/relationships/hyperlink" Target="https://www.fullpicture.app/item/80ce25cb1575432bf98120cd71ea5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2024-01-06T17:08:07+01:00</dcterms:created>
  <dcterms:modified xsi:type="dcterms:W3CDTF">2024-01-06T17:08:07+01:00</dcterms:modified>
</cp:coreProperties>
</file>

<file path=docProps/custom.xml><?xml version="1.0" encoding="utf-8"?>
<Properties xmlns="http://schemas.openxmlformats.org/officeDocument/2006/custom-properties" xmlns:vt="http://schemas.openxmlformats.org/officeDocument/2006/docPropsVTypes"/>
</file>