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核心素养理念下农村初中美术教学的现状调查与对策研究--《湖南师范大学》2019年硕士论文</w:t>
      </w:r>
      <w:br/>
      <w:hyperlink r:id="rId7" w:history="1">
        <w:r>
          <w:rPr>
            <w:color w:val="2980b9"/>
            <w:u w:val="single"/>
          </w:rPr>
          <w:t xml:space="preserve">https://cdmd.cnki.com.cn/Article/CDMD-10542-1020610139.htm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核心素养教育理念对农村初中美术教学的影响：核心素养教育理念倡导注重学生思想品格、能力素质、价值观与人生观塑造等方面的培养，逐渐成为当前国内外教育界普遍认可的教育管理方向。在这一理念指导下，农村初中美术教学迎来了全新的机遇和挑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农村初中美术教育存在的问题：本研究以当前农村初中美术教育实践状况为主要基点，系统梳理农村美术教育过程中的弊端。通过对样本学校美术教育实践开展状况的分析，提出改善策略。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提出适合农村美术教育教学的新形式、新方法：以核心素养培养理论为前提，结合城市美术教育成功案例中的有效办法，探寻适合农村美术教育教学的新形式、新方法，并提出农村美术教育发展的实践策略。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本文的主要问题在于缺乏具体的数据支持和实证研究。文章提到了核心素养教育理念对学生个体成长、国家与社会改革发展中人才结构优化等方面的重要作用，但没有提供任何具体的数据或案例来支持这一观点。此外，文章也没有对农村初中美术教学现状进行详细的调查和分析，而是仅仅从理论层面探讨了核心素养教育理念在美术教育中的应用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另外，文章也存在着一定程度上的偏见和片面性。例如，文章认为农村初中美术教育日益提上教育改革日程，并为其指明了方向和提供了有利契机。然而，这种观点并不完全准确。事实上，在当前中国农村地区，由于经济条件和师资力量等方面的限制，很多农村学校并没有得到足够的资源和支持来开展艺术教育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也缺乏对可能存在风险和挑战的考虑。例如，在当前中国社会中，由于城乡差距等因素影响，很多农村学生在审美能力、艺术修养等方面存在较大差距。因此，在推进农村初中美术教育时需要注意到这些潜在风险，并采取相应措施来加以解决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本文需要更加深入地调查研究，并提供更加具体、可行性强的建议和措施来促进农村初中美术教育事业的发展。同时，在撰写类似文章时也需要更加客观、全面地考虑各种因素，并避免出现偏见或片面性观点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Empirical research on the impact of core literacy education on student growth and national development
</w:t>
      </w:r>
    </w:p>
    <w:p>
      <w:pPr>
        <w:spacing w:after="0"/>
        <w:numPr>
          <w:ilvl w:val="0"/>
          <w:numId w:val="2"/>
        </w:numPr>
      </w:pPr>
      <w:r>
        <w:rPr/>
        <w:t xml:space="preserve">Analysis of the current state of rural middle school art education and its challenges
</w:t>
      </w:r>
    </w:p>
    <w:p>
      <w:pPr>
        <w:spacing w:after="0"/>
        <w:numPr>
          <w:ilvl w:val="0"/>
          <w:numId w:val="2"/>
        </w:numPr>
      </w:pPr>
      <w:r>
        <w:rPr/>
        <w:t xml:space="preserve">Examination of the resources and support available for rural schools to implement art education
</w:t>
      </w:r>
    </w:p>
    <w:p>
      <w:pPr>
        <w:spacing w:after="0"/>
        <w:numPr>
          <w:ilvl w:val="0"/>
          <w:numId w:val="2"/>
        </w:numPr>
      </w:pPr>
      <w:r>
        <w:rPr/>
        <w:t xml:space="preserve">Consideration of the potential risks and challenges in promoting art education in rural areas
</w:t>
      </w:r>
    </w:p>
    <w:p>
      <w:pPr>
        <w:spacing w:after="0"/>
        <w:numPr>
          <w:ilvl w:val="0"/>
          <w:numId w:val="2"/>
        </w:numPr>
      </w:pPr>
      <w:r>
        <w:rPr/>
        <w:t xml:space="preserve">Development of specific and feasible recommendations and measures to promote rural middle school art education
</w:t>
      </w:r>
    </w:p>
    <w:p>
      <w:pPr>
        <w:numPr>
          <w:ilvl w:val="0"/>
          <w:numId w:val="2"/>
        </w:numPr>
      </w:pPr>
      <w:r>
        <w:rPr/>
        <w:t xml:space="preserve">Avoidance of bias and one-sided perspectives in writing similar articles.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https://www.fullpicture.app/item/812a13ce3565055e716d7ca0ad8167a6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72F381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dmd.cnki.com.cn/Article/CDMD-10542-1020610139.htm" TargetMode="External"/><Relationship Id="rId8" Type="http://schemas.openxmlformats.org/officeDocument/2006/relationships/hyperlink" Target="https://www.fullpicture.app/item/812a13ce3565055e716d7ca0ad8167a6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2024-01-05T15:38:52+01:00</dcterms:created>
  <dcterms:modified xsi:type="dcterms:W3CDTF">2024-01-05T15:38:52+01:00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