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科工力量：对美光启动网络安全审查，不宜解读成“科技战”</w:t>
      </w:r>
      <w:br/>
      <w:hyperlink r:id="rId7" w:history="1">
        <w:r>
          <w:rPr>
            <w:color w:val="2980b9"/>
            <w:u w:val="single"/>
          </w:rPr>
          <w:t xml:space="preserve">https://www.guancha.cn/kegongliliang/2023_04_07_687342.shtml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network security review of Micron's products sold in China is not a result of the Sino-US technological war, but rather a measure to protect national information security.</w:t>
      </w:r>
    </w:p>
    <w:p>
      <w:pPr>
        <w:jc w:val="both"/>
      </w:pPr>
      <w:r>
        <w:rPr/>
        <w:t xml:space="preserve">2. The grievances between Micron, UMC, and Jinhua are related to an intellectual property dispute, but Jinhua should not bear the negative consequences as a third party.</w:t>
      </w:r>
    </w:p>
    <w:p>
      <w:pPr>
        <w:jc w:val="both"/>
      </w:pPr>
      <w:r>
        <w:rPr/>
        <w:t xml:space="preserve">3. The reason for launching the network security review of Micron may be due to discovered security risks in their storage products, rather than targeting them specifically for political reasons.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Micron启动网络安全审查的原因进行了分析，但存在一些偏见和不完整的报道。首先，文章将Micron、UMC和Jinhua之间的知识产权纠纷简单地归结为UMC挖人和技术窃取，而没有探讨更深层次的原因。其次，文章认为Jinhua只是在寻找合作伙伴时“不友好”，并且没有承担任何责任，这种观点也是片面的。最后，文章没有提供足够的证据来支持其主张，例如Micron产品存在安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此外，该文章可能存在宣传内容和偏袒之嫌。作者未能平等地呈现双方，并且可能忽略了中国政府在网络安全方面采取行动的潜在风险。需要更加客观、全面地报道这个问题，并避免过度解读和偏见。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Deeper reasons behind the IP dispute between Micron</w:t>
      </w:r>
    </w:p>
    <w:p>
      <w:pPr>
        <w:spacing w:after="0"/>
        <w:numPr>
          <w:ilvl w:val="0"/>
          <w:numId w:val="2"/>
        </w:numPr>
      </w:pPr>
      <w:r>
        <w:rPr/>
        <w:t xml:space="preserve">UMC</w:t>
      </w:r>
    </w:p>
    <w:p>
      <w:pPr>
        <w:spacing w:after="0"/>
        <w:numPr>
          <w:ilvl w:val="0"/>
          <w:numId w:val="2"/>
        </w:numPr>
      </w:pPr>
      <w:r>
        <w:rPr/>
        <w:t xml:space="preserve">and Jinhua
</w:t>
      </w:r>
    </w:p>
    <w:p>
      <w:pPr>
        <w:spacing w:after="0"/>
        <w:numPr>
          <w:ilvl w:val="0"/>
          <w:numId w:val="2"/>
        </w:numPr>
      </w:pPr>
      <w:r>
        <w:rPr/>
        <w:t xml:space="preserve">Jinhua's responsibility in the IP dispute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of security risks in Micron's products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promotion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objective and comprehensive reporting
</w:t>
      </w:r>
    </w:p>
    <w:p>
      <w:pPr>
        <w:numPr>
          <w:ilvl w:val="0"/>
          <w:numId w:val="2"/>
        </w:numPr>
      </w:pPr>
      <w:r>
        <w:rPr/>
        <w:t xml:space="preserve">Potential risks of Chinese government actions in cybersecurity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https://www.fullpicture.app/item/8162bf1f8c0bbb18c5cfd23fb4f0ebb5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74C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ancha.cn/kegongliliang/2023_04_07_687342.shtml" TargetMode="External"/><Relationship Id="rId8" Type="http://schemas.openxmlformats.org/officeDocument/2006/relationships/hyperlink" Target="https://www.fullpicture.app/item/8162bf1f8c0bbb18c5cfd23fb4f0eb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2023-12-13T06:46:19+01:00</dcterms:created>
  <dcterms:modified xsi:type="dcterms:W3CDTF">2023-12-13T06:46:19+01:00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