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电子烟质量控制：电子烟填充液中的杂质和尼古丁含量分析</w:t>
      </w:r>
      <w:br/>
      <w:hyperlink r:id="rId7" w:history="1">
        <w:r>
          <w:rPr>
            <w:color w:val="2980b9"/>
            <w:u w:val="single"/>
          </w:rPr>
          <w:t xml:space="preserve">https://www.researchgate.net/publication/340615083_E-Cigarette_Quality_Control_Impurity_and_Nicotine_Level_Analysis_in_Electronic_Cigarette_Refill_Liquids</w:t>
        </w:r>
      </w:hyperlink>
    </w:p>
    <w:p>
      <w:pPr>
        <w:pStyle w:val="Heading1"/>
      </w:pPr>
      <w:bookmarkStart w:id="2" w:name="_Toc2"/>
      <w:r>
        <w:t>Article summary:</w:t>
      </w:r>
      <w:bookmarkEnd w:id="2"/>
    </w:p>
    <w:p>
      <w:pPr>
        <w:jc w:val="both"/>
      </w:pPr>
      <w:r>
        <w:rPr/>
        <w:t xml:space="preserve">1. 该研究针对电子烟液体的质量控制，分析了32种产品样本。</w:t>
      </w:r>
    </w:p>
    <w:p>
      <w:pPr>
        <w:jc w:val="both"/>
      </w:pPr>
      <w:r>
        <w:rPr/>
        <w:t xml:space="preserve">2. 研究发现31%的产品在包装上准确指示了尼古丁含量，但47%的产品在尺寸和包装指示之间显示出超过20%的差异。</w:t>
      </w:r>
    </w:p>
    <w:p>
      <w:pPr>
        <w:jc w:val="both"/>
      </w:pPr>
      <w:r>
        <w:rPr/>
        <w:t xml:space="preserve">3. 杂质含量从0变化到32.6%，但几乎所有样品中，尼古丁分解产物的含量均不超过尼古丁含量的2%。电子烟填充液的实际尼古丁含量并不总是像包装上标明的那样准确。</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该文章提供了对电子烟液体质量控制的分析，但存在一些潜在偏见和不足之处。</w:t>
      </w:r>
    </w:p>
    <w:p>
      <w:pPr>
        <w:jc w:val="both"/>
      </w:pPr>
      <w:r>
        <w:rPr/>
        <w:t xml:space="preserve"/>
      </w:r>
    </w:p>
    <w:p>
      <w:pPr>
        <w:jc w:val="both"/>
      </w:pPr>
      <w:r>
        <w:rPr/>
        <w:t xml:space="preserve">首先，该研究只针对来自摩洛哥超市和烟草店的“32种产品”进行了分析，样本数量较少且仅限于一个地区，可能无法代表全球范围内的电子烟液体市场。此外，该研究未考虑到不同品牌、型号和生产批次之间的差异。</w:t>
      </w:r>
    </w:p>
    <w:p>
      <w:pPr>
        <w:jc w:val="both"/>
      </w:pPr>
      <w:r>
        <w:rPr/>
        <w:t xml:space="preserve"/>
      </w:r>
    </w:p>
    <w:p>
      <w:pPr>
        <w:jc w:val="both"/>
      </w:pPr>
      <w:r>
        <w:rPr/>
        <w:t xml:space="preserve">其次，在文章中提到了尼古丁含量与包装上标示之间存在差异，但并未详细说明这些差异是否会对用户造成健康风险。此外，该研究也未探讨其他潜在有害物质（如重金属、挥发性有机化合物等）的含量和影响。</w:t>
      </w:r>
    </w:p>
    <w:p>
      <w:pPr>
        <w:jc w:val="both"/>
      </w:pPr>
      <w:r>
        <w:rPr/>
        <w:t xml:space="preserve"/>
      </w:r>
    </w:p>
    <w:p>
      <w:pPr>
        <w:jc w:val="both"/>
      </w:pPr>
      <w:r>
        <w:rPr/>
        <w:t xml:space="preserve">此外，在统计分析方面，该研究使用了学生t检验和线性回归测试来确定尼古丁水平准确度与有毒杂质水平之间的关系。然而，这些方法可能存在局限性，并不能完全反映出真实情况。</w:t>
      </w:r>
    </w:p>
    <w:p>
      <w:pPr>
        <w:jc w:val="both"/>
      </w:pPr>
      <w:r>
        <w:rPr/>
        <w:t xml:space="preserve"/>
      </w:r>
    </w:p>
    <w:p>
      <w:pPr>
        <w:jc w:val="both"/>
      </w:pPr>
      <w:r>
        <w:rPr/>
        <w:t xml:space="preserve">最后，在报道中缺乏客观公正性和平衡性。文章没有探讨电子烟液体的潜在风险和危害，也没有提供对电子烟液体的正面评价。此外，文章中可能存在宣传内容和偏袒某些观点的情况。</w:t>
      </w:r>
    </w:p>
    <w:p>
      <w:pPr>
        <w:jc w:val="both"/>
      </w:pPr>
      <w:r>
        <w:rPr/>
        <w:t xml:space="preserve"/>
      </w:r>
    </w:p>
    <w:p>
      <w:pPr>
        <w:jc w:val="both"/>
      </w:pPr>
      <w:r>
        <w:rPr/>
        <w:t xml:space="preserve">综上所述，该文章虽然提供了一些关于电子烟液体质量控制的信息，但存在一些潜在偏见和不足之处。需要更多的研究来全面评估电子烟液体的质量和安全性。</w:t>
      </w:r>
    </w:p>
    <w:p>
      <w:pPr>
        <w:pStyle w:val="Heading1"/>
      </w:pPr>
      <w:bookmarkStart w:id="5" w:name="_Toc5"/>
      <w:r>
        <w:t>Topics for further research:</w:t>
      </w:r>
      <w:bookmarkEnd w:id="5"/>
    </w:p>
    <w:p>
      <w:pPr>
        <w:spacing w:after="0"/>
        <w:numPr>
          <w:ilvl w:val="0"/>
          <w:numId w:val="2"/>
        </w:numPr>
      </w:pPr>
      <w:r>
        <w:rPr/>
        <w:t xml:space="preserve">Global e-liquid market analysis
</w:t>
      </w:r>
    </w:p>
    <w:p>
      <w:pPr>
        <w:spacing w:after="0"/>
        <w:numPr>
          <w:ilvl w:val="0"/>
          <w:numId w:val="2"/>
        </w:numPr>
      </w:pPr>
      <w:r>
        <w:rPr/>
        <w:t xml:space="preserve">Brand</w:t>
      </w:r>
    </w:p>
    <w:p>
      <w:pPr>
        <w:spacing w:after="0"/>
        <w:numPr>
          <w:ilvl w:val="0"/>
          <w:numId w:val="2"/>
        </w:numPr>
      </w:pPr>
      <w:r>
        <w:rPr/>
        <w:t xml:space="preserve">model</w:t>
      </w:r>
    </w:p>
    <w:p>
      <w:pPr>
        <w:spacing w:after="0"/>
        <w:numPr>
          <w:ilvl w:val="0"/>
          <w:numId w:val="2"/>
        </w:numPr>
      </w:pPr>
      <w:r>
        <w:rPr/>
        <w:t xml:space="preserve">and batch differences in e-liquids
</w:t>
      </w:r>
    </w:p>
    <w:p>
      <w:pPr>
        <w:spacing w:after="0"/>
        <w:numPr>
          <w:ilvl w:val="0"/>
          <w:numId w:val="2"/>
        </w:numPr>
      </w:pPr>
      <w:r>
        <w:rPr/>
        <w:t xml:space="preserve">Potential health risks of nicotine and other harmful substances in e-liquids
</w:t>
      </w:r>
    </w:p>
    <w:p>
      <w:pPr>
        <w:spacing w:after="0"/>
        <w:numPr>
          <w:ilvl w:val="0"/>
          <w:numId w:val="2"/>
        </w:numPr>
      </w:pPr>
      <w:r>
        <w:rPr/>
        <w:t xml:space="preserve">Limitations of statistical analysis methods used in the study
</w:t>
      </w:r>
    </w:p>
    <w:p>
      <w:pPr>
        <w:spacing w:after="0"/>
        <w:numPr>
          <w:ilvl w:val="0"/>
          <w:numId w:val="2"/>
        </w:numPr>
      </w:pPr>
      <w:r>
        <w:rPr/>
        <w:t xml:space="preserve">Balanced and objective reporting on e-liquid risks and benefits
</w:t>
      </w:r>
    </w:p>
    <w:p>
      <w:pPr>
        <w:numPr>
          <w:ilvl w:val="0"/>
          <w:numId w:val="2"/>
        </w:numPr>
      </w:pPr>
      <w:r>
        <w:rPr/>
        <w:t xml:space="preserve">Need for further research on e-liquid quality and safety.</w:t>
      </w:r>
    </w:p>
    <w:p>
      <w:pPr>
        <w:pStyle w:val="Heading1"/>
      </w:pPr>
      <w:bookmarkStart w:id="6" w:name="_Toc6"/>
      <w:r>
        <w:t>Report location:</w:t>
      </w:r>
      <w:bookmarkEnd w:id="6"/>
    </w:p>
    <w:p>
      <w:hyperlink r:id="rId8" w:history="1">
        <w:r>
          <w:rPr>
            <w:color w:val="2980b9"/>
            <w:u w:val="single"/>
          </w:rPr>
          <w:t xml:space="preserve">https://www.fullpicture.app/item/82517fb05e5499aa1a43ca71423ade42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7C3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40615083_E-Cigarette_Quality_Control_Impurity_and_Nicotine_Level_Analysis_in_Electronic_Cigarette_Refill_Liquids" TargetMode="External"/><Relationship Id="rId8" Type="http://schemas.openxmlformats.org/officeDocument/2006/relationships/hyperlink" Target="https://www.fullpicture.app/item/82517fb05e5499aa1a43ca71423ade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2023-12-04T22:19:31+01:00</dcterms:created>
  <dcterms:modified xsi:type="dcterms:W3CDTF">2023-12-04T22:19:31+01:00</dcterms:modified>
</cp:coreProperties>
</file>

<file path=docProps/custom.xml><?xml version="1.0" encoding="utf-8"?>
<Properties xmlns="http://schemas.openxmlformats.org/officeDocument/2006/custom-properties" xmlns:vt="http://schemas.openxmlformats.org/officeDocument/2006/docPropsVTypes"/>
</file>