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ATG7介导的自噬促进胚胎干细胞从幼稚多能性中退出，并标志着对分化的承诺 - PubMed</w:t>
      </w:r>
      <w:br/>
      <w:hyperlink r:id="rId7" w:history="1">
        <w:r>
          <w:rPr>
            <w:color w:val="2980b9"/>
            <w:u w:val="single"/>
          </w:rPr>
          <w:t xml:space="preserve">https://pubmed.ncbi.nlm.nih.gov/35311460/</w:t>
        </w:r>
      </w:hyperlink>
    </w:p>
    <w:p>
      <w:pPr>
        <w:pStyle w:val="Heading1"/>
      </w:pPr>
      <w:bookmarkStart w:id="2" w:name="_Toc2"/>
      <w:r>
        <w:t>Article summary:</w:t>
      </w:r>
      <w:bookmarkEnd w:id="2"/>
    </w:p>
    <w:p>
      <w:pPr>
        <w:jc w:val="both"/>
      </w:pPr>
      <w:r>
        <w:rPr/>
        <w:t xml:space="preserve">1. ATG7-mediated autophagy plays a key role in regulating the transition from naive pluripotency to primed pluripotency.</w:t>
      </w:r>
    </w:p>
    <w:p>
      <w:pPr>
        <w:jc w:val="both"/>
      </w:pPr>
      <w:r>
        <w:rPr/>
        <w:t xml:space="preserve">2. NANOG is a barrier that prevents the transition from naive pluripotency to primed pluripotency, and its autophagy-dependent degradation is essential for dismantling the naive pluripotency expression program by disabling young-related activator subunits.</w:t>
      </w:r>
    </w:p>
    <w:p>
      <w:pPr>
        <w:jc w:val="both"/>
      </w:pPr>
      <w:r>
        <w:rPr/>
        <w:t xml:space="preserve">3. In vivo, ATG7 depletion leads to impaired development around implantation and affects neuronal differentiation by competing with OTX2 for binding to specific neural ectodermally related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analysis of data. The authors have used RNA-seq and ATAC-seq analyses to support their findings, which adds credibility to their conclusions. Additionally, the authors have provided detailed information about the methods used in their experiments, which further adds to the trustworthiness of the article.</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their findings or provide any evidence for their claims beyond what was presented in their experiments and analyses. Furthermore, there is no discussion of how this research could be applied in a clinical setting or how it could benefit patients in any way.</w:t>
      </w:r>
    </w:p>
    <w:p>
      <w:pPr>
        <w:pStyle w:val="Heading1"/>
      </w:pPr>
      <w:bookmarkStart w:id="5" w:name="_Toc5"/>
      <w:r>
        <w:t>Topics for further research:</w:t>
      </w:r>
      <w:bookmarkEnd w:id="5"/>
    </w:p>
    <w:p>
      <w:pPr>
        <w:spacing w:after="0"/>
        <w:numPr>
          <w:ilvl w:val="0"/>
          <w:numId w:val="2"/>
        </w:numPr>
      </w:pPr>
      <w:r>
        <w:rPr/>
        <w:t xml:space="preserve">Clinical applications of RNA-seq</w:t>
      </w:r>
    </w:p>
    <w:p>
      <w:pPr>
        <w:spacing w:after="0"/>
        <w:numPr>
          <w:ilvl w:val="0"/>
          <w:numId w:val="2"/>
        </w:numPr>
      </w:pPr>
      <w:r>
        <w:rPr/>
        <w:t xml:space="preserve">Benefits of ATAC-seq analysis</w:t>
      </w:r>
    </w:p>
    <w:p>
      <w:pPr>
        <w:spacing w:after="0"/>
        <w:numPr>
          <w:ilvl w:val="0"/>
          <w:numId w:val="2"/>
        </w:numPr>
      </w:pPr>
      <w:r>
        <w:rPr/>
        <w:t xml:space="preserve">Potential risks associated with RNA-seq</w:t>
      </w:r>
    </w:p>
    <w:p>
      <w:pPr>
        <w:spacing w:after="0"/>
        <w:numPr>
          <w:ilvl w:val="0"/>
          <w:numId w:val="2"/>
        </w:numPr>
      </w:pPr>
      <w:r>
        <w:rPr/>
        <w:t xml:space="preserve">Counterarguments to RNA-seq findings</w:t>
      </w:r>
    </w:p>
    <w:p>
      <w:pPr>
        <w:spacing w:after="0"/>
        <w:numPr>
          <w:ilvl w:val="0"/>
          <w:numId w:val="2"/>
        </w:numPr>
      </w:pPr>
      <w:r>
        <w:rPr/>
        <w:t xml:space="preserve">Clinical implications of ATAC-seq</w:t>
      </w:r>
    </w:p>
    <w:p>
      <w:pPr>
        <w:numPr>
          <w:ilvl w:val="0"/>
          <w:numId w:val="2"/>
        </w:numPr>
      </w:pPr>
      <w:r>
        <w:rPr/>
        <w:t xml:space="preserve">Evidence for claims beyond experiments and analyses</w:t>
      </w:r>
    </w:p>
    <w:p>
      <w:pPr>
        <w:pStyle w:val="Heading1"/>
      </w:pPr>
      <w:bookmarkStart w:id="6" w:name="_Toc6"/>
      <w:r>
        <w:t>Report location:</w:t>
      </w:r>
      <w:bookmarkEnd w:id="6"/>
    </w:p>
    <w:p>
      <w:hyperlink r:id="rId8" w:history="1">
        <w:r>
          <w:rPr>
            <w:color w:val="2980b9"/>
            <w:u w:val="single"/>
          </w:rPr>
          <w:t xml:space="preserve">https://www.fullpicture.app/item/837711aad343763d52f9ca677e776029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2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11460/" TargetMode="External"/><Relationship Id="rId8" Type="http://schemas.openxmlformats.org/officeDocument/2006/relationships/hyperlink" Target="https://www.fullpicture.app/item/837711aad343763d52f9ca677e776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2023-02-26T09:14:57+01:00</dcterms:created>
  <dcterms:modified xsi:type="dcterms:W3CDTF">2023-02-26T09:14:57+01:00</dcterms:modified>
</cp:coreProperties>
</file>

<file path=docProps/custom.xml><?xml version="1.0" encoding="utf-8"?>
<Properties xmlns="http://schemas.openxmlformats.org/officeDocument/2006/custom-properties" xmlns:vt="http://schemas.openxmlformats.org/officeDocument/2006/docPropsVTypes"/>
</file>