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中国乡村产业振兴:时空分异、动态演进及共富效应 - 中国知网</w:t></w:r><w:br/><w:hyperlink r:id="rId7" w:history="1"><w:r><w:rPr><w:color w:val="2980b9"/><w:u w:val="single"/></w:rPr><w:t xml:space="preserve">https://kns.cnki.net/kcms2/article/abstract?v=3uoqIhG8C45S0n9fL2suRadTyEVl2pW9UrhTDCdPD667sqWSpsgJxgTsi3wK8bBLpWdjjOqG5dTJcZRIqPV_ttJaVZJuXqhf&uniplatform=NZKPT</w:t></w:r></w:hyperlink></w:p><w:p><w:pPr><w:pStyle w:val="Heading1"/></w:pPr><w:bookmarkStart w:id="2" w:name="_Toc2"/><w:r><w:t>Article summary:</w:t></w:r><w:bookmarkEnd w:id="2"/></w:p><w:p><w:pPr><w:jc w:val="both"/></w:pPr><w:r><w:rPr/><w:t xml:space="preserve">1. The article examines the development level, spatial-temporal differences, and dynamic evolution of rural industrial revitalization in China from 2000 to 2020.</w:t></w:r></w:p><w:p><w:pPr><w:jc w:val="both"/></w:pPr><w:r><w:rPr/><w:t xml:space="preserve">2. It finds that while overall levels of rural industrial revitalization are increasing, they remain at a low level with eastern regions performing better than northeastern, central, and western regions. Green innovation and urban-rural integration are identified as weak points.</w:t></w:r></w:p><w:p><w:pPr><w:jc w:val="both"/></w:pPr><w:r><w:rPr/><w:t xml:space="preserve">3. The article also finds that there is a significant common prosperity effect associated with rural industrial revitalization which is sustainable and has both direct and indirect effects.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theoretical analysis combined with provincial panel data from 2000 to 2020 to objectively measure the development level, spatial-temporal differences, and dynamic evolution of rural industrial revitalization in China. The article also provides evidence for its claims by examining the polarization phenomenon of rural industrial revitalization during the period under study as well as testing for common prosperity effects associated with it. </w:t></w:r></w:p><w:p><w:pPr><w:jc w:val="both"/></w:pPr><w:r><w:rPr/><w:t xml:space="preserve">However, there are some potential biases present in the article which should be noted. For example, it does not explore any counterarguments or present both sides equally when discussing the findings of its research. Additionally, it does not consider any possible risks associated with rural industrial revitalization or provide any solutions for addressing them. Furthermore, there may be some promotional content present in the article as it focuses solely on positive aspects of rural industrial revitalization without considering any potential drawbacks or negative impacts it may have on society or the environment.</w:t></w:r></w:p><w:p><w:pPr><w:pStyle w:val="Heading1"/></w:pPr><w:bookmarkStart w:id="5" w:name="_Toc5"/><w:r><w:t>Topics for further research:</w:t></w:r><w:bookmarkEnd w:id="5"/></w:p><w:p><w:pPr><w:spacing w:after="0"/><w:numPr><w:ilvl w:val="0"/><w:numId w:val="2"/></w:numPr></w:pPr><w:r><w:rPr/><w:t xml:space="preserve">Risks associated with rural industrial revitalization</w:t></w:r></w:p><w:p><w:pPr><w:spacing w:after="0"/><w:numPr><w:ilvl w:val="0"/><w:numId w:val="2"/></w:numPr></w:pPr><w:r><w:rPr/><w:t xml:space="preserve">Negative impacts of rural industrial revitalization</w:t></w:r></w:p><w:p><w:pPr><w:spacing w:after="0"/><w:numPr><w:ilvl w:val="0"/><w:numId w:val="2"/></w:numPr></w:pPr><w:r><w:rPr/><w:t xml:space="preserve">Solutions for addressing rural industrial revitalization</w:t></w:r></w:p><w:p><w:pPr><w:spacing w:after="0"/><w:numPr><w:ilvl w:val="0"/><w:numId w:val="2"/></w:numPr></w:pPr><w:r><w:rPr/><w:t xml:space="preserve">Counterarguments to rural industrial revitalization</w:t></w:r></w:p><w:p><w:pPr><w:spacing w:after="0"/><w:numPr><w:ilvl w:val="0"/><w:numId w:val="2"/></w:numPr></w:pPr><w:r><w:rPr/><w:t xml:space="preserve">Promotional content in rural industrial revitalization</w:t></w:r></w:p><w:p><w:pPr><w:numPr><w:ilvl w:val="0"/><w:numId w:val="2"/></w:numPr></w:pPr><w:r><w:rPr/><w:t xml:space="preserve">Common prosperity effects of rural industrial revitalization</w:t></w:r></w:p><w:p><w:pPr><w:pStyle w:val="Heading1"/></w:pPr><w:bookmarkStart w:id="6" w:name="_Toc6"/><w:r><w:t>Report location:</w:t></w:r><w:bookmarkEnd w:id="6"/></w:p><w:p><w:hyperlink r:id="rId8" w:history="1"><w:r><w:rPr><w:color w:val="2980b9"/><w:u w:val="single"/></w:rPr><w:t xml:space="preserve">https://www.fullpicture.app/item/839309b7ad89d2480cb35137d093eb2b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8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7sqWSpsgJxgTsi3wK8bBLpWdjjOqG5dTJcZRIqPV_ttJaVZJuXqhf&amp;uniplatform=NZKPT" TargetMode="External"/><Relationship Id="rId8" Type="http://schemas.openxmlformats.org/officeDocument/2006/relationships/hyperlink" Target="https://www.fullpicture.app/item/839309b7ad89d2480cb35137d093eb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2023-02-23T06:55:15+01:00</dcterms:created>
  <dcterms:modified xsi:type="dcterms:W3CDTF">2023-02-23T06:55:15+01:00</dcterms:modified>
</cp:coreProperties>
</file>

<file path=docProps/custom.xml><?xml version="1.0" encoding="utf-8"?>
<Properties xmlns="http://schemas.openxmlformats.org/officeDocument/2006/custom-properties" xmlns:vt="http://schemas.openxmlformats.org/officeDocument/2006/docPropsVTypes"/>
</file>