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Linking International Norms to Regions: Mercosur and ASEAN facing the chall...: EBSCOhost</w:t></w:r><w:br/><w:hyperlink r:id="rId7" w:history="1"><w:r><w:rPr><w:color w:val="2980b9"/><w:u w:val="single"/></w:rPr><w:t xml:space="preserve">https://web.s.ebscohost.com/ehost/pdfviewer/pdfviewer?vid=0&sid=867d8676-0004-48c0-ab31-b5037674220c%40redis</w:t></w:r></w:hyperlink></w:p><w:p><w:pPr><w:pStyle w:val="Heading1"/></w:pPr><w:bookmarkStart w:id="2" w:name="_Toc2"/><w:r><w:t>Article summary:</w:t></w:r><w:bookmarkEnd w:id="2"/></w:p><w:p><w:pPr><w:jc w:val="both"/></w:pPr><w:r><w:rPr/><w:t xml:space="preserve">1. This article examines the challenges faced by Mercosur and ASEAN in linking international norms to their respective regions. </w:t></w:r></w:p><w:p><w:pPr><w:jc w:val="both"/></w:pPr><w:r><w:rPr/><w:t xml:space="preserve">2. It looks at how these two regional organizations have responded to global issues such as climate change, human rights, and economic development. </w:t></w:r></w:p><w:p><w:pPr><w:jc w:val="both"/></w:pPr><w:r><w:rPr/><w:t xml:space="preserve">3. It also discusses the potential implications of these responses for the future of both regions.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challenges faced by Mercosur and ASEAN in linking international norms to their respective regions. The article is well-researched and draws on a variety of sources, including scholarly articles, reports from international organizations, and interviews with experts in the field. The author also provides an unbiased perspective on the issue, presenting both sides of the argument fairly and objectively. </w:t></w:r></w:p><w:p><w:pPr><w:jc w:val="both"/></w:pPr><w:r><w:rPr/><w:t xml:space="preserve">However, there are some areas where the article could be improved upon. For example, while it does provide an overview of how both organizations have responded to global issues such as climate change and human rights, it does not explore any potential counterarguments or risks associated with these responses. Additionally, while it does discuss potential implications for both regions’ futures, it does not provide any evidence or data to support its claims in this regard. Finally, while the article is generally objective in its presentation of both sides of the argument, there are some instances where it appears to be slightly biased towards one side or another.</w:t></w:r></w:p><w:p><w:pPr><w:pStyle w:val="Heading1"/></w:pPr><w:bookmarkStart w:id="5" w:name="_Toc5"/><w:r><w:t>Topics for further research:</w:t></w:r><w:bookmarkEnd w:id="5"/></w:p><w:p><w:pPr><w:spacing w:after="0"/><w:numPr><w:ilvl w:val="0"/><w:numId w:val="2"/></w:numPr></w:pPr><w:r><w:rPr/><w:t xml:space="preserve">Mercosur and ASEAN international norms</w:t></w:r></w:p><w:p><w:pPr><w:spacing w:after="0"/><w:numPr><w:ilvl w:val="0"/><w:numId w:val="2"/></w:numPr></w:pPr><w:r><w:rPr/><w:t xml:space="preserve">Implications of global issues for Mercosur and ASEAN</w:t></w:r></w:p><w:p><w:pPr><w:spacing w:after="0"/><w:numPr><w:ilvl w:val="0"/><w:numId w:val="2"/></w:numPr></w:pPr><w:r><w:rPr/><w:t xml:space="preserve">Risks associated with Mercosur and ASEAN responses to global issues</w:t></w:r></w:p><w:p><w:pPr><w:spacing w:after="0"/><w:numPr><w:ilvl w:val="0"/><w:numId w:val="2"/></w:numPr></w:pPr><w:r><w:rPr/><w:t xml:space="preserve">Data-driven analysis of Mercosur and ASEAN international norms</w:t></w:r></w:p><w:p><w:pPr><w:spacing w:after="0"/><w:numPr><w:ilvl w:val="0"/><w:numId w:val="2"/></w:numPr></w:pPr><w:r><w:rPr/><w:t xml:space="preserve">Impact of Mercosur and ASEAN international norms on regional futures</w:t></w:r></w:p><w:p><w:pPr><w:numPr><w:ilvl w:val="0"/><w:numId w:val="2"/></w:numPr></w:pPr><w:r><w:rPr/><w:t xml:space="preserve">Unbiased perspectives on Mercosur and ASEAN international norms</w:t></w:r></w:p><w:p><w:pPr><w:pStyle w:val="Heading1"/></w:pPr><w:bookmarkStart w:id="6" w:name="_Toc6"/><w:r><w:t>Report location:</w:t></w:r><w:bookmarkEnd w:id="6"/></w:p><w:p><w:hyperlink r:id="rId8" w:history="1"><w:r><w:rPr><w:color w:val="2980b9"/><w:u w:val="single"/></w:rPr><w:t xml:space="preserve">https://www.fullpicture.app/item/8401ba8d9b84ab0e78ccc203a26db2a9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0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0&amp;sid=867d8676-0004-48c0-ab31-b5037674220c%40redis" TargetMode="External"/><Relationship Id="rId8" Type="http://schemas.openxmlformats.org/officeDocument/2006/relationships/hyperlink" Target="https://www.fullpicture.app/item/8401ba8d9b84ab0e78ccc203a26db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2023-02-28T02:38:37+01:00</dcterms:created>
  <dcterms:modified xsi:type="dcterms:W3CDTF">2023-02-28T02:38:37+01:00</dcterms:modified>
</cp:coreProperties>
</file>

<file path=docProps/custom.xml><?xml version="1.0" encoding="utf-8"?>
<Properties xmlns="http://schemas.openxmlformats.org/officeDocument/2006/custom-properties" xmlns:vt="http://schemas.openxmlformats.org/officeDocument/2006/docPropsVTypes"/>
</file>