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Homocysteine and Mitochondria in Cardiovascular and Cerebrovascular Systems - PubMed</w:t>
      </w:r>
      <w:br/>
      <w:hyperlink r:id="rId7" w:history="1">
        <w:r>
          <w:rPr>
            <w:color w:val="2980b9"/>
            <w:u w:val="single"/>
          </w:rPr>
          <w:t xml:space="preserve">https://pubmed.ncbi.nlm.nih.gov/33080955/</w:t>
        </w:r>
      </w:hyperlink>
    </w:p>
    <w:p>
      <w:pPr>
        <w:pStyle w:val="Heading1"/>
      </w:pPr>
      <w:bookmarkStart w:id="2" w:name="_Toc2"/>
      <w:r>
        <w:t>Article summary:</w:t>
      </w:r>
      <w:bookmarkEnd w:id="2"/>
    </w:p>
    <w:p>
      <w:pPr>
        <w:jc w:val="both"/>
      </w:pPr>
      <w:r>
        <w:rPr/>
        <w:t xml:space="preserve">1. 高同型半胱氨酸（Hcy）浓度与线粒体功能紊乱有关，可能导致心血管和脑血管疾病。该文章讨论了高同型半胱氨酸对线粒体稳态的影响，包括能量代谢、线粒体凋亡通路和线粒体动力学。</w:t>
      </w:r>
    </w:p>
    <w:p>
      <w:pPr>
        <w:jc w:val="both"/>
      </w:pPr>
      <w:r>
        <w:rPr/>
        <w:t xml:space="preserve"/>
      </w:r>
    </w:p>
    <w:p>
      <w:pPr>
        <w:jc w:val="both"/>
      </w:pPr>
      <w:r>
        <w:rPr/>
        <w:t xml:space="preserve">2. 高同型半胱氨酸与线粒体之间的相互作用复杂，可能通过活性氧物种（ROS）介导高同型半胱氨酸的效应。文章重点讨论了导致高同型半胱氨酸相关氧化应激的机制，如ROS产生源以及由基因表达改变和蛋白质翻译后修饰引起的抗氧化防御的改变。</w:t>
      </w:r>
    </w:p>
    <w:p>
      <w:pPr>
        <w:jc w:val="both"/>
      </w:pPr>
      <w:r>
        <w:rPr/>
        <w:t xml:space="preserve"/>
      </w:r>
    </w:p>
    <w:p>
      <w:pPr>
        <w:jc w:val="both"/>
      </w:pPr>
      <w:r>
        <w:rPr/>
        <w:t xml:space="preserve">3. 近期研究发现，高同型半胱氨酸可能对线粒体ROS稳态和抗氧化防御具有益处。更好地理解高同型半胱氨酸影响线粒体功能的复杂机制，有助于开发针对高同型半胱氨酸相关疾病的更具针对性的治疗策略。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综述，讨论了高同型半胱氨酸（Hcy）浓度在血浆中的增加（高同型半胱氨酸血症）与心血管和神经退行性疾病等多种疾病的关联。文章指出，越来越多的证据表明这些疾病的发病机制与线粒体功能障碍有关。文章讨论了HHcy对线粒体稳态的影响，包括能量代谢、线粒体凋亡通路和线粒体动力学。最近的研究表明Hcy与线粒体之间的相互作用是复杂的，反应性氧化物（ROS）可能是Hcy效应的介导因子。文章重点讨论了导致HHcy相关氧化应激的机制，如ROS产生源和由于基因表达改变和蛋白质后转录修饰而导致抗氧化防御改变。此外，文章还讨论了一些最近的发现，暗示HHcy可能对线粒体ROS稳态和抗氧化防御具有益处。更好地理解Hcy影响线粒体功能的复杂机制可能有助于开发针对HHcy相关疾病的更具针对性的治疗策略。</w:t>
      </w:r>
    </w:p>
    <w:p>
      <w:pPr>
        <w:jc w:val="both"/>
      </w:pPr>
      <w:r>
        <w:rPr/>
        <w:t xml:space="preserve"/>
      </w:r>
    </w:p>
    <w:p>
      <w:pPr>
        <w:jc w:val="both"/>
      </w:pPr>
      <w:r>
        <w:rPr/>
        <w:t xml:space="preserve">文章没有明确提及潜在的偏见或来源，但需要注意的是，这篇综述可能存在一些片面报道和缺失的考虑点。例如，文章没有探讨HHcy与其他因素（如遗传因素、生活方式等）之间的相互作用，也没有提及可能存在的其他影响线粒体功能的因素。此外，文章提到了一些最近的发现暗示HHcy可能对线粒体有益，但并未提供足够的证据来支持这些主张。需要更多的研究来验证这些发现，并确定HHcy对线粒体功能的确切影响。</w:t>
      </w:r>
    </w:p>
    <w:p>
      <w:pPr>
        <w:jc w:val="both"/>
      </w:pPr>
      <w:r>
        <w:rPr/>
        <w:t xml:space="preserve"/>
      </w:r>
    </w:p>
    <w:p>
      <w:pPr>
        <w:jc w:val="both"/>
      </w:pPr>
      <w:r>
        <w:rPr/>
        <w:t xml:space="preserve">此外，文章没有探索反驳观点或可能存在的风险。它没有平等地呈现双方观点，并且似乎更倾向于支持HHcy与线粒体功能障碍之间的关联。然而，由于缺乏详细数据和证据支持，读者应该保持谨慎，并进一步研究该领域以获取全面和客观的信息。</w:t>
      </w:r>
    </w:p>
    <w:p>
      <w:pPr>
        <w:jc w:val="both"/>
      </w:pPr>
      <w:r>
        <w:rPr/>
        <w:t xml:space="preserve"/>
      </w:r>
    </w:p>
    <w:p>
      <w:pPr>
        <w:jc w:val="both"/>
      </w:pPr>
      <w:r>
        <w:rPr/>
        <w:t xml:space="preserve">总之，尽管这篇综述提供了关于HHcy与线粒体功能之间关系的一些有价值的信息，但它可能存在一些偏见和不足之处。读者应该谨慎对待其中的主张，并寻找更多的证据来支持或反驳这些主张。</w:t>
      </w:r>
    </w:p>
    <w:p>
      <w:pPr>
        <w:pStyle w:val="Heading1"/>
      </w:pPr>
      <w:bookmarkStart w:id="5" w:name="_Toc5"/>
      <w:r>
        <w:t>Topics for further research:</w:t>
      </w:r>
      <w:bookmarkEnd w:id="5"/>
    </w:p>
    <w:p>
      <w:pPr>
        <w:spacing w:after="0"/>
        <w:numPr>
          <w:ilvl w:val="0"/>
          <w:numId w:val="2"/>
        </w:numPr>
      </w:pPr>
      <w:r>
        <w:rPr/>
        <w:t xml:space="preserve">高同型半胱氨酸与心血管和神经退行性疾病的关联
</w:t>
      </w:r>
    </w:p>
    <w:p>
      <w:pPr>
        <w:spacing w:after="0"/>
        <w:numPr>
          <w:ilvl w:val="0"/>
          <w:numId w:val="2"/>
        </w:numPr>
      </w:pPr>
      <w:r>
        <w:rPr/>
        <w:t xml:space="preserve">高同型半胱氨酸对线粒体功能的影响
</w:t>
      </w:r>
    </w:p>
    <w:p>
      <w:pPr>
        <w:spacing w:after="0"/>
        <w:numPr>
          <w:ilvl w:val="0"/>
          <w:numId w:val="2"/>
        </w:numPr>
      </w:pPr>
      <w:r>
        <w:rPr/>
        <w:t xml:space="preserve">反应性氧化物在高同型半胱氨酸效应中的作用
</w:t>
      </w:r>
    </w:p>
    <w:p>
      <w:pPr>
        <w:spacing w:after="0"/>
        <w:numPr>
          <w:ilvl w:val="0"/>
          <w:numId w:val="2"/>
        </w:numPr>
      </w:pPr>
      <w:r>
        <w:rPr/>
        <w:t xml:space="preserve">高同型半胱氨酸相关氧化应激的机制
</w:t>
      </w:r>
    </w:p>
    <w:p>
      <w:pPr>
        <w:spacing w:after="0"/>
        <w:numPr>
          <w:ilvl w:val="0"/>
          <w:numId w:val="2"/>
        </w:numPr>
      </w:pPr>
      <w:r>
        <w:rPr/>
        <w:t xml:space="preserve">高同型半胱氨酸对线粒体ROS稳态和抗氧化防御的影响
</w:t>
      </w:r>
    </w:p>
    <w:p>
      <w:pPr>
        <w:numPr>
          <w:ilvl w:val="0"/>
          <w:numId w:val="2"/>
        </w:numPr>
      </w:pPr>
      <w:r>
        <w:rPr/>
        <w:t xml:space="preserve">高同型半胱氨酸相关疾病的治疗策略</w:t>
      </w:r>
    </w:p>
    <w:p>
      <w:pPr>
        <w:pStyle w:val="Heading1"/>
      </w:pPr>
      <w:bookmarkStart w:id="6" w:name="_Toc6"/>
      <w:r>
        <w:t>Report location:</w:t>
      </w:r>
      <w:bookmarkEnd w:id="6"/>
    </w:p>
    <w:p>
      <w:hyperlink r:id="rId8" w:history="1">
        <w:r>
          <w:rPr>
            <w:color w:val="2980b9"/>
            <w:u w:val="single"/>
          </w:rPr>
          <w:t xml:space="preserve">https://www.fullpicture.app/item/845262c0f148d979a9ba1954f360281f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3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80955/" TargetMode="External"/><Relationship Id="rId8" Type="http://schemas.openxmlformats.org/officeDocument/2006/relationships/hyperlink" Target="https://www.fullpicture.app/item/845262c0f148d979a9ba1954f36028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2023-12-30T10:14:59+01:00</dcterms:created>
  <dcterms:modified xsi:type="dcterms:W3CDTF">2023-12-30T10:14:59+01:00</dcterms:modified>
</cp:coreProperties>
</file>

<file path=docProps/custom.xml><?xml version="1.0" encoding="utf-8"?>
<Properties xmlns="http://schemas.openxmlformats.org/officeDocument/2006/custom-properties" xmlns:vt="http://schemas.openxmlformats.org/officeDocument/2006/docPropsVTypes"/>
</file>