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Legitimate Expectations in Investment Treaty Law: Understanding the Roots and the Limits of a Controversial Concept | ICSID Review - Foreign Investment Law Journal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https://academic.oup.com/icsidreview/article/28/1/88/636313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concept of legitimate expectations in investment treaty law has been increasingly invoked by claimants in investment treaty arbitrations and endorsed by tribunals, but there is a lack of systematic analysis and framework for its application.</w:t>
      </w:r>
    </w:p>
    <w:p>
      <w:pPr>
        <w:jc w:val="both"/>
      </w:pPr>
      <w:r>
        <w:rPr/>
        <w:t xml:space="preserve">2. The roots of the concept can be traced back to domestic administrative law systems and the EU system, which protect legitimate expectations in various situations.</w:t>
      </w:r>
    </w:p>
    <w:p>
      <w:pPr>
        <w:jc w:val="both"/>
      </w:pPr>
      <w:r>
        <w:rPr/>
        <w:t xml:space="preserve">3. In the investment treaty context, legitimate expectations have been found to arise from contractual commitments, unilateral representations of the state, and a right to a stable regulatory framework. However, protecting legitimate expectations may limit the state's right to regulate, and tribunals should consider both the socio-economic circumstances of the host state and the investor's conduct to determine if an expectation is reasonable and legitimate.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这篇文章探讨了在投资条约法中合法期望的概念，并对其根源和限制进行了理解。然而，文章存在一些问题和偏见。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首先，文章没有提供足够的证据来支持其主张。它只是简单地引用了一些仲裁案例和学术观点，而没有深入研究这个概念的起源和法律基础。这使得读者很难相信作者的观点。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只关注了投资者的合法期望，而没有平等地考虑东道国的利益。它没有探讨当东道国需要调整政策以保护公共利益时，投资者是否应该享有不受干扰的合法期望。这种片面性可能导致对东道国权益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此外，文章没有充分考虑到合法期望原则可能带来的风险和负面影响。如果过度保护投资者的合法期望，可能会限制东道国制定新政策或修改现有政策的能力。这可能会阻碍东道国发展并保护公共利益。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最后，文章缺乏对反驳观点的探索。它只关注了支持合法期望原则的案例和观点，而没有探讨可能存在的反对意见。这种不平衡的呈现方式可能导致读者对问题的全面理解。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它没有提供充分的证据来支持其主张，并且忽视了东道国的利益和可能带来的风险。此外，它还缺乏对反驳观点的探索。因此，读者应该对文章中提出的观点保持怀疑，并寻找更全面和客观的信息来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投资条约法中合法期望的起源和法律基础
</w:t>
      </w:r>
    </w:p>
    <w:p>
      <w:pPr>
        <w:spacing w:after="0"/>
        <w:numPr>
          <w:ilvl w:val="0"/>
          <w:numId w:val="2"/>
        </w:numPr>
      </w:pPr>
      <w:r>
        <w:rPr/>
        <w:t xml:space="preserve">投资者合法期望与东道国利益的平衡
</w:t>
      </w:r>
    </w:p>
    <w:p>
      <w:pPr>
        <w:spacing w:after="0"/>
        <w:numPr>
          <w:ilvl w:val="0"/>
          <w:numId w:val="2"/>
        </w:numPr>
      </w:pPr>
      <w:r>
        <w:rPr/>
        <w:t xml:space="preserve">合法期望原则可能带来的风险和负面影响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反驳观点对合法期望原则的质疑
</w:t>
      </w:r>
    </w:p>
    <w:p>
      <w:pPr>
        <w:spacing w:after="0"/>
        <w:numPr>
          <w:ilvl w:val="0"/>
          <w:numId w:val="2"/>
        </w:numPr>
      </w:pPr>
      <w:r>
        <w:rPr/>
        <w:t xml:space="preserve">其他学术观点和案例对合法期望的解释
</w:t>
      </w:r>
    </w:p>
    <w:p>
      <w:pPr>
        <w:numPr>
          <w:ilvl w:val="0"/>
          <w:numId w:val="2"/>
        </w:numPr>
      </w:pPr>
      <w:r>
        <w:rPr/>
        <w:t xml:space="preserve">对合法期望原则的综合评估和建议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https://www.fullpicture.app/item/8498020c152b8772b9d03ad41764639b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7CF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icsidreview/article/28/1/88/636313" TargetMode="External"/><Relationship Id="rId8" Type="http://schemas.openxmlformats.org/officeDocument/2006/relationships/hyperlink" Target="https://www.fullpicture.app/item/8498020c152b8772b9d03ad4176463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2023-12-19T03:49:26+01:00</dcterms:created>
  <dcterms:modified xsi:type="dcterms:W3CDTF">2023-12-19T03:49:26+01:00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