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Dokument 8:276 S (2021-2022) - stortinget.no</w:t>
      </w:r>
      <w:br/>
      <w:hyperlink r:id="rId7" w:history="1">
        <w:r>
          <w:rPr>
            <w:color w:val="2980b9"/>
            <w:u w:val="single"/>
          </w:rPr>
          <w:t xml:space="preserve">https://www.stortinget.no/no/Saker-og-publikasjoner/Publikasjoner/Representantforslag/2021-2022/dok8-202122-276s/</w:t>
        </w:r>
      </w:hyperlink>
    </w:p>
    <w:p>
      <w:pPr>
        <w:pStyle w:val="Heading1"/>
      </w:pPr>
      <w:bookmarkStart w:id="2" w:name="_Toc2"/>
      <w:r>
        <w:t>Article summary:</w:t>
      </w:r>
      <w:bookmarkEnd w:id="2"/>
    </w:p>
    <w:p>
      <w:pPr>
        <w:jc w:val="both"/>
      </w:pPr>
      <w:r>
        <w:rPr/>
        <w:t xml:space="preserve">1. This document is a representative proposal from Grunde Almeland and Ingvild Wetrhus Thorsvik, which outlines the introduction of a third legal gender category.</w:t>
      </w:r>
    </w:p>
    <w:p>
      <w:pPr>
        <w:jc w:val="both"/>
      </w:pPr>
      <w:r>
        <w:rPr/>
        <w:t xml:space="preserve">2. The proposal also calls for an increased and decentralized treatment option for people with gender incongruence.</w:t>
      </w:r>
    </w:p>
    <w:p>
      <w:pPr>
        <w:jc w:val="both"/>
      </w:pPr>
      <w:r>
        <w:rPr/>
        <w:t xml:space="preserve">3. The document contains four pages in total, and is available in PDF format.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clear information about the proposed representative proposal from Grunde Almeland and Ingvild Wetrhus Thorsvik, which outlines the introduction of a third legal gender category as well as an increased and decentralized treatment option for people with gender incongruence. The article does not appear to be biased or one-sided, as it presents both sides of the argument equally without any promotional content or partiality. It also does not appear to contain any unsupported claims or missing points of consideration, as all relevant information is provided in detail. Furthermore, the article does not appear to contain any missing evidence for the claims made or unexplored counterarguments, as all relevant evidence is provided in full detail. Additionally, possible risks are noted throughout the article, ensuring that readers are aware of potential consequences before making any decisions based on the information presented in the article. Therefore, overall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Gender identity legislation</w:t>
      </w:r>
    </w:p>
    <w:p>
      <w:pPr>
        <w:spacing w:after="0"/>
        <w:numPr>
          <w:ilvl w:val="0"/>
          <w:numId w:val="2"/>
        </w:numPr>
      </w:pPr>
      <w:r>
        <w:rPr/>
        <w:t xml:space="preserve">Gender incongruence treatment options</w:t>
      </w:r>
    </w:p>
    <w:p>
      <w:pPr>
        <w:spacing w:after="0"/>
        <w:numPr>
          <w:ilvl w:val="0"/>
          <w:numId w:val="2"/>
        </w:numPr>
      </w:pPr>
      <w:r>
        <w:rPr/>
        <w:t xml:space="preserve">Third gender category legal implications</w:t>
      </w:r>
    </w:p>
    <w:p>
      <w:pPr>
        <w:spacing w:after="0"/>
        <w:numPr>
          <w:ilvl w:val="0"/>
          <w:numId w:val="2"/>
        </w:numPr>
      </w:pPr>
      <w:r>
        <w:rPr/>
        <w:t xml:space="preserve">Gender identity rights
 identity discrimination</w:t>
      </w:r>
    </w:p>
    <w:p>
      <w:pPr>
        <w:numPr>
          <w:ilvl w:val="0"/>
          <w:numId w:val="2"/>
        </w:numPr>
      </w:pPr>
      <w:r>
        <w:rPr/>
        <w:t xml:space="preserve">Gender identity representation in politics</w:t>
      </w:r>
    </w:p>
    <w:p>
      <w:pPr>
        <w:pStyle w:val="Heading1"/>
      </w:pPr>
      <w:bookmarkStart w:id="6" w:name="_Toc6"/>
      <w:r>
        <w:t>Report location:</w:t>
      </w:r>
      <w:bookmarkEnd w:id="6"/>
    </w:p>
    <w:p>
      <w:hyperlink r:id="rId8" w:history="1">
        <w:r>
          <w:rPr>
            <w:color w:val="2980b9"/>
            <w:u w:val="single"/>
          </w:rPr>
          <w:t xml:space="preserve">https://www.fullpicture.app/item/84f4d9e2d734f291356e4e70d038da85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06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ortinget.no/no/Saker-og-publikasjoner/Publikasjoner/Representantforslag/2021-2022/dok8-202122-276s/" TargetMode="External"/><Relationship Id="rId8" Type="http://schemas.openxmlformats.org/officeDocument/2006/relationships/hyperlink" Target="https://www.fullpicture.app/item/84f4d9e2d734f291356e4e70d038da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2023-02-20T13:44:31+01:00</dcterms:created>
  <dcterms:modified xsi:type="dcterms:W3CDTF">2023-02-20T13:44:31+01:00</dcterms:modified>
</cp:coreProperties>
</file>

<file path=docProps/custom.xml><?xml version="1.0" encoding="utf-8"?>
<Properties xmlns="http://schemas.openxmlformats.org/officeDocument/2006/custom-properties" xmlns:vt="http://schemas.openxmlformats.org/officeDocument/2006/docPropsVTypes"/>
</file>