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Residual cancer burden after neoadjuvant chemotherapy and long-term survival outcomes in breast cancer: a multicentre pooled analysis of 5161 patients - The Lancet Oncology</w:t>
      </w:r>
      <w:br/>
      <w:hyperlink r:id="rId7" w:history="1">
        <w:r>
          <w:rPr>
            <w:color w:val="2980b9"/>
            <w:u w:val="single"/>
          </w:rPr>
          <w:t xml:space="preserve">https://www.thelancet.com/journals/lanonc/article/PIIS1470-2045(21)00589-1/fulltext</w:t>
        </w:r>
      </w:hyperlink>
    </w:p>
    <w:p>
      <w:pPr>
        <w:pStyle w:val="Heading1"/>
      </w:pPr>
      <w:bookmarkStart w:id="2" w:name="_Toc2"/>
      <w:r>
        <w:t>Article summary:</w:t>
      </w:r>
      <w:bookmarkEnd w:id="2"/>
    </w:p>
    <w:p>
      <w:pPr>
        <w:jc w:val="both"/>
      </w:pPr>
      <w:r>
        <w:rPr/>
        <w:t xml:space="preserve">1. 本研究通过对5161名接受新辅助化疗的乳腺癌患者进行多中心汇总分析，验证了残留癌症负担（RCB）与不同表型亚型乳腺癌的长期预后之间的关系。</w:t>
      </w:r>
    </w:p>
    <w:p>
      <w:pPr>
        <w:jc w:val="both"/>
      </w:pPr>
      <w:r>
        <w:rPr/>
        <w:t xml:space="preserve">2. RCB评分在所有乳腺癌亚型中都显示出独立的预后价值，高RCB评分与更差的无事件生存相关。</w:t>
      </w:r>
    </w:p>
    <w:p>
      <w:pPr>
        <w:jc w:val="both"/>
      </w:pPr>
      <w:r>
        <w:rPr/>
        <w:t xml:space="preserve">3. 研究结果表明，在新辅助化疗后，RCB评分可以作为一种潜在的标准病理学报告指标，用于评估患者的残余风险。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这篇文章对于残留癌症负担（RCB）在新辅助化疗后的预后意义进行了多中心汇总分析，涉及5161名患者。然而，在对文章内容进行批判性分析时，我们需要注意到一些潜在的偏见和局限性。</w:t>
      </w:r>
    </w:p>
    <w:p>
      <w:pPr>
        <w:jc w:val="both"/>
      </w:pPr>
      <w:r>
        <w:rPr/>
        <w:t xml:space="preserve"/>
      </w:r>
    </w:p>
    <w:p>
      <w:pPr>
        <w:jc w:val="both"/>
      </w:pPr>
      <w:r>
        <w:rPr/>
        <w:t xml:space="preserve">首先，文章没有提及可能存在的选择偏见。由于该研究是基于已有的数据汇总分析，可能存在某些研究中未报告或未记录的重要变量，这可能导致结果出现偏差。此外，由于该研究是基于欧洲和美国12个不同机构和试验的数据，不同机构之间可能存在治疗方案、评估标准等方面的差异，这也可能影响到最终结果的可靠性。</w:t>
      </w:r>
    </w:p>
    <w:p>
      <w:pPr>
        <w:jc w:val="both"/>
      </w:pPr>
      <w:r>
        <w:rPr/>
        <w:t xml:space="preserve"/>
      </w:r>
    </w:p>
    <w:p>
      <w:pPr>
        <w:jc w:val="both"/>
      </w:pPr>
      <w:r>
        <w:rPr/>
        <w:t xml:space="preserve">其次，文章未提及对患者生活质量、心理健康等因素的考虑。虽然该研究关注了RCB与长期存活率之间的关系，但并未探讨患者在治疗过程中可能面临的心理压力、生活质量下降等问题。这些因素也会对患者的整体预后产生影响。</w:t>
      </w:r>
    </w:p>
    <w:p>
      <w:pPr>
        <w:jc w:val="both"/>
      </w:pPr>
      <w:r>
        <w:rPr/>
        <w:t xml:space="preserve"/>
      </w:r>
    </w:p>
    <w:p>
      <w:pPr>
        <w:jc w:val="both"/>
      </w:pPr>
      <w:r>
        <w:rPr/>
        <w:t xml:space="preserve">此外，在文章中并未提及对其他治疗方法或策略的比较和讨论。虽然强调了RCB作为一个潜在的预后指标，但并没有与其他指标或方法进行比较，并评估其优劣之处。这种片面报道可能会使读者无法全面了解当前治疗领域中不同方法之间的优势和劣势。</w:t>
      </w:r>
    </w:p>
    <w:p>
      <w:pPr>
        <w:jc w:val="both"/>
      </w:pPr>
      <w:r>
        <w:rPr/>
        <w:t xml:space="preserve"/>
      </w:r>
    </w:p>
    <w:p>
      <w:pPr>
        <w:jc w:val="both"/>
      </w:pPr>
      <w:r>
        <w:rPr/>
        <w:t xml:space="preserve">最后，在文章中也没有详细讨论潜在风险和限制条件。例如，在使用RCB作为预后指标时可能存在误诊率或漏诊率等问题，并且是否所有类型的乳腺癌都适用于该指标也需要进一步验证。因此，在呈现结论时应更加谨慎，并提供更多关于风险和限制条件方面的信息。</w:t>
      </w:r>
    </w:p>
    <w:p>
      <w:pPr>
        <w:jc w:val="both"/>
      </w:pPr>
      <w:r>
        <w:rPr/>
        <w:t xml:space="preserve"/>
      </w:r>
    </w:p>
    <w:p>
      <w:pPr>
        <w:jc w:val="both"/>
      </w:pPr>
      <w:r>
        <w:rPr/>
        <w:t xml:space="preserve">综上所述，尽管该研究为我们提供了有关RCB与乳腺癌长期存活率之间关系的重要信息，但仍需谨慎对待其中存在的偏见和局限性，并进一步开展更全面、客观地研究以确保结果可靠性和实用性。</w:t>
      </w:r>
    </w:p>
    <w:p>
      <w:pPr>
        <w:pStyle w:val="Heading1"/>
      </w:pPr>
      <w:bookmarkStart w:id="5" w:name="_Toc5"/>
      <w:r>
        <w:t>Topics for further research:</w:t>
      </w:r>
      <w:bookmarkEnd w:id="5"/>
    </w:p>
    <w:p>
      <w:pPr>
        <w:spacing w:after="0"/>
        <w:numPr>
          <w:ilvl w:val="0"/>
          <w:numId w:val="2"/>
        </w:numPr>
      </w:pPr>
      <w:r>
        <w:rPr/>
        <w:t xml:space="preserve">潜在的选择偏见
</w:t>
      </w:r>
    </w:p>
    <w:p>
      <w:pPr>
        <w:spacing w:after="0"/>
        <w:numPr>
          <w:ilvl w:val="0"/>
          <w:numId w:val="2"/>
        </w:numPr>
      </w:pPr>
      <w:r>
        <w:rPr/>
        <w:t xml:space="preserve">患者生活质量和心理健康考虑
</w:t>
      </w:r>
    </w:p>
    <w:p>
      <w:pPr>
        <w:spacing w:after="0"/>
        <w:numPr>
          <w:ilvl w:val="0"/>
          <w:numId w:val="2"/>
        </w:numPr>
      </w:pPr>
      <w:r>
        <w:rPr/>
        <w:t xml:space="preserve">其他治疗方法或策略的比较和讨论
</w:t>
      </w:r>
    </w:p>
    <w:p>
      <w:pPr>
        <w:spacing w:after="0"/>
        <w:numPr>
          <w:ilvl w:val="0"/>
          <w:numId w:val="2"/>
        </w:numPr>
      </w:pPr>
      <w:r>
        <w:rPr/>
        <w:t xml:space="preserve">潜在风险和限制条件
</w:t>
      </w:r>
    </w:p>
    <w:p>
      <w:pPr>
        <w:spacing w:after="0"/>
        <w:numPr>
          <w:ilvl w:val="0"/>
          <w:numId w:val="2"/>
        </w:numPr>
      </w:pPr>
      <w:r>
        <w:rPr/>
        <w:t xml:space="preserve">误诊率和漏诊率问题
</w:t>
      </w:r>
    </w:p>
    <w:p>
      <w:pPr>
        <w:numPr>
          <w:ilvl w:val="0"/>
          <w:numId w:val="2"/>
        </w:numPr>
      </w:pPr>
      <w:r>
        <w:rPr/>
        <w:t xml:space="preserve">不同类型乳腺癌的适用性验证</w:t>
      </w:r>
    </w:p>
    <w:p>
      <w:pPr>
        <w:pStyle w:val="Heading1"/>
      </w:pPr>
      <w:bookmarkStart w:id="6" w:name="_Toc6"/>
      <w:r>
        <w:t>Report location:</w:t>
      </w:r>
      <w:bookmarkEnd w:id="6"/>
    </w:p>
    <w:p>
      <w:hyperlink r:id="rId8" w:history="1">
        <w:r>
          <w:rPr>
            <w:color w:val="2980b9"/>
            <w:u w:val="single"/>
          </w:rPr>
          <w:t xml:space="preserve">https://www.fullpicture.app/item/85b2f2d19a46ee88d9508fecea9576d7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986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onc/article/PIIS1470-2045(21)00589-1/fulltext" TargetMode="External"/><Relationship Id="rId8" Type="http://schemas.openxmlformats.org/officeDocument/2006/relationships/hyperlink" Target="https://www.fullpicture.app/item/85b2f2d19a46ee88d9508fecea9576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2024-04-04T08:31:37+02:00</dcterms:created>
  <dcterms:modified xsi:type="dcterms:W3CDTF">2024-04-04T08:31:37+02:00</dcterms:modified>
</cp:coreProperties>
</file>

<file path=docProps/custom.xml><?xml version="1.0" encoding="utf-8"?>
<Properties xmlns="http://schemas.openxmlformats.org/officeDocument/2006/custom-properties" xmlns:vt="http://schemas.openxmlformats.org/officeDocument/2006/docPropsVTypes"/>
</file>