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contribution des marchés du logement à la résilience économique | Cairn.info</w:t>
      </w:r>
      <w:br/>
      <w:hyperlink r:id="rId7" w:history="1">
        <w:r>
          <w:rPr>
            <w:color w:val="2980b9"/>
            <w:u w:val="single"/>
          </w:rPr>
          <w:t xml:space="preserve">https://www.cairn.info/revue-economique-de-l-ocde-2004-1-page-139.htm</w:t>
        </w:r>
      </w:hyperlink>
    </w:p>
    <w:p>
      <w:pPr>
        <w:pStyle w:val="Heading1"/>
      </w:pPr>
      <w:bookmarkStart w:id="2" w:name="_Toc2"/>
      <w:r>
        <w:t>Article summary:</w:t>
      </w:r>
      <w:bookmarkEnd w:id="2"/>
    </w:p>
    <w:p>
      <w:pPr>
        <w:jc w:val="both"/>
      </w:pPr>
      <w:r>
        <w:rPr/>
        <w:t xml:space="preserve">1. Les marchés du logement ont une influence sur la résilience économique des pays de l'OCDE pendant les récessions conjoncturelles.</w:t>
      </w:r>
    </w:p>
    <w:p>
      <w:pPr>
        <w:jc w:val="both"/>
      </w:pPr>
      <w:r>
        <w:rPr/>
        <w:t xml:space="preserve">2. Les prix immobiliers dynamiques peuvent stimuler la consommation privée et la construction résidentielle, compensant ainsi les faiblesses dans d'autres secteurs.</w:t>
      </w:r>
    </w:p>
    <w:p>
      <w:pPr>
        <w:jc w:val="both"/>
      </w:pPr>
      <w:r>
        <w:rPr/>
        <w:t xml:space="preserve">3. Le cadre institutionnel des marchés du logement et hypothécaires détermine l'efficacité économique globale, la propagation des chocs et la capacité de la politique monétaire à y répondre efficacement.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"La contribution des marchés du logement à la résilience économique" aborde le lien entre les marchés immobiliers et la résilience économique dans les pays de l'OCDE. L'auteur affirme que la performance des marchés du logement peut influencer la résilience économique en compensant les faiblesses dans d'autres secteurs. Cependant, il convient de noter que cet article a été publié en 2004, ce qui signifie qu'il peut ne pas refléter les réalités actuelles.</w:t>
      </w:r>
    </w:p>
    <w:p>
      <w:pPr>
        <w:jc w:val="both"/>
      </w:pPr>
      <w:r>
        <w:rPr/>
        <w:t xml:space="preserve"/>
      </w:r>
    </w:p>
    <w:p>
      <w:pPr>
        <w:jc w:val="both"/>
      </w:pPr>
      <w:r>
        <w:rPr/>
        <w:t xml:space="preserve">Un biais potentiel dans cet article est le manque de preuves pour étayer certaines affirmations. Par exemple, l'auteur mentionne que le dynamisme des prix immobiliers a dopé la consommation privée et la construction résidentielle, mais il ne fournit pas de données ou d'études spécifiques pour soutenir cette affirmation.</w:t>
      </w:r>
    </w:p>
    <w:p>
      <w:pPr>
        <w:jc w:val="both"/>
      </w:pPr>
      <w:r>
        <w:rPr/>
        <w:t xml:space="preserve"/>
      </w:r>
    </w:p>
    <w:p>
      <w:pPr>
        <w:jc w:val="both"/>
      </w:pPr>
      <w:r>
        <w:rPr/>
        <w:t xml:space="preserve">De plus, l'article semble adopter une perspective unilatérale en se concentrant principalement sur les effets positifs des marchés du logement sur la résilience économique. Il ne mentionne pas les risques potentiels associés aux bulles immobilières ou aux déséquilibres causés par des réformes incomplètes.</w:t>
      </w:r>
    </w:p>
    <w:p>
      <w:pPr>
        <w:jc w:val="both"/>
      </w:pPr>
      <w:r>
        <w:rPr/>
        <w:t xml:space="preserve"/>
      </w:r>
    </w:p>
    <w:p>
      <w:pPr>
        <w:jc w:val="both"/>
      </w:pPr>
      <w:r>
        <w:rPr/>
        <w:t xml:space="preserve">Le contenu promotionnel est également présent dans cet article, car il suggère que l'amélioration de la résilience économique peut être atteinte grâce à des réformes visant à supprimer les rigidités du marché hypothécaire et à renforcer la réaction à la politique monétaire. Cependant, il ne prend pas en compte les arguments contraires ou les possibles effets négatifs de telles réformes.</w:t>
      </w:r>
    </w:p>
    <w:p>
      <w:pPr>
        <w:jc w:val="both"/>
      </w:pPr>
      <w:r>
        <w:rPr/>
        <w:t xml:space="preserve"/>
      </w:r>
    </w:p>
    <w:p>
      <w:pPr>
        <w:jc w:val="both"/>
      </w:pPr>
      <w:r>
        <w:rPr/>
        <w:t xml:space="preserve">En outre, l'article ne mentionne pas les facteurs sociaux ou environnementaux qui peuvent influencer la résilience économique. Il se concentre principalement sur les aspects institutionnels et monétaires des marchés du logement.</w:t>
      </w:r>
    </w:p>
    <w:p>
      <w:pPr>
        <w:jc w:val="both"/>
      </w:pPr>
      <w:r>
        <w:rPr/>
        <w:t xml:space="preserve"/>
      </w:r>
    </w:p>
    <w:p>
      <w:pPr>
        <w:jc w:val="both"/>
      </w:pPr>
      <w:r>
        <w:rPr/>
        <w:t xml:space="preserve">Dans l'ensemble, cet article présente certaines informations intéressantes sur le lien entre les marchés du logement et la résilience économique, mais il manque de preuves pour étayer ses affirmations et adopte une perspective unilatérale en ne considérant que les effets positifs des marchés immobiliers. Il aurait été bénéfique d'inclure une analyse plus approfondie des risques potentiels et des contre-arguments liés à ce sujet.</w:t>
      </w:r>
    </w:p>
    <w:p>
      <w:pPr>
        <w:pStyle w:val="Heading1"/>
      </w:pPr>
      <w:bookmarkStart w:id="5" w:name="_Toc5"/>
      <w:r>
        <w:t>Topics for further research:</w:t>
      </w:r>
      <w:bookmarkEnd w:id="5"/>
    </w:p>
    <w:p>
      <w:pPr>
        <w:spacing w:after="0"/>
        <w:numPr>
          <w:ilvl w:val="0"/>
          <w:numId w:val="2"/>
        </w:numPr>
      </w:pPr>
      <w:r>
        <w:rPr/>
        <w:t xml:space="preserve">Les facteurs sociaux et environnementaux qui influencent la résilience économique dans les marchés immobiliers de l'OCDE.
</w:t>
      </w:r>
    </w:p>
    <w:p>
      <w:pPr>
        <w:spacing w:after="0"/>
        <w:numPr>
          <w:ilvl w:val="0"/>
          <w:numId w:val="2"/>
        </w:numPr>
      </w:pPr>
      <w:r>
        <w:rPr/>
        <w:t xml:space="preserve">Les risques potentiels associés aux bulles immobilières et aux déséquilibres causés par des réformes incomplètes.
</w:t>
      </w:r>
    </w:p>
    <w:p>
      <w:pPr>
        <w:spacing w:after="0"/>
        <w:numPr>
          <w:ilvl w:val="0"/>
          <w:numId w:val="2"/>
        </w:numPr>
      </w:pPr>
      <w:r>
        <w:rPr/>
        <w:t xml:space="preserve">Les effets négatifs possibles des réformes visant à supprimer les rigidités du marché hypothécaire et à renforcer la réaction à la politique monétaire.
</w:t>
      </w:r>
    </w:p>
    <w:p>
      <w:pPr>
        <w:spacing w:after="0"/>
        <w:numPr>
          <w:ilvl w:val="0"/>
          <w:numId w:val="2"/>
        </w:numPr>
      </w:pPr>
      <w:r>
        <w:rPr/>
        <w:t xml:space="preserve">Les études spécifiques et les données qui soutiennent l'affirmation selon laquelle le dynamisme des prix immobiliers stimule la consommation privée et la construction résidentielle.
</w:t>
      </w:r>
    </w:p>
    <w:p>
      <w:pPr>
        <w:spacing w:after="0"/>
        <w:numPr>
          <w:ilvl w:val="0"/>
          <w:numId w:val="2"/>
        </w:numPr>
      </w:pPr>
      <w:r>
        <w:rPr/>
        <w:t xml:space="preserve">Les réalités actuelles des marchés du logement et leur impact sur la résilience économique dans les pays de l'OCDE.
</w:t>
      </w:r>
    </w:p>
    <w:p>
      <w:pPr>
        <w:spacing w:after="0"/>
        <w:numPr>
          <w:ilvl w:val="0"/>
          <w:numId w:val="2"/>
        </w:numPr>
      </w:pPr>
      <w:r>
        <w:rPr/>
        <w:t xml:space="preserve">Les perspectives alternatives sur le lien entre les marchés du logement et la résilience économique</w:t>
      </w:r>
    </w:p>
    <w:p>
      <w:pPr>
        <w:numPr>
          <w:ilvl w:val="0"/>
          <w:numId w:val="2"/>
        </w:numPr>
      </w:pPr>
      <w:r>
        <w:rPr/>
        <w:t xml:space="preserve">en prenant en compte les arguments contraires et les possibles effets négatifs.</w:t>
      </w:r>
    </w:p>
    <w:p>
      <w:pPr>
        <w:pStyle w:val="Heading1"/>
      </w:pPr>
      <w:bookmarkStart w:id="6" w:name="_Toc6"/>
      <w:r>
        <w:t>Report location:</w:t>
      </w:r>
      <w:bookmarkEnd w:id="6"/>
    </w:p>
    <w:p>
      <w:hyperlink r:id="rId8" w:history="1">
        <w:r>
          <w:rPr>
            <w:color w:val="2980b9"/>
            <w:u w:val="single"/>
          </w:rPr>
          <w:t xml:space="preserve">https://www.fullpicture.app/item/85f8b25124cee61ba4baa7bb2adbecfa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B1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economique-de-l-ocde-2004-1-page-139.htm" TargetMode="External"/><Relationship Id="rId8" Type="http://schemas.openxmlformats.org/officeDocument/2006/relationships/hyperlink" Target="https://www.fullpicture.app/item/85f8b25124cee61ba4baa7bb2adbec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2024-01-10T21:05:00+01:00</dcterms:created>
  <dcterms:modified xsi:type="dcterms:W3CDTF">2024-01-10T21:05:00+01:00</dcterms:modified>
</cp:coreProperties>
</file>

<file path=docProps/custom.xml><?xml version="1.0" encoding="utf-8"?>
<Properties xmlns="http://schemas.openxmlformats.org/officeDocument/2006/custom-properties" xmlns:vt="http://schemas.openxmlformats.org/officeDocument/2006/docPropsVTypes"/>
</file>